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MATH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Cushion Audit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20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CHECK CUSHION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Estimate the annual escrow disbursement total and compare the statement’s projected low balance with the federal maximum cushion concept.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Estimate the annual escrow disbursement total and compare the statement’s projected low balance with the federal maximum cushion concept.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1024.17(c)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The federal maximum cushion is generally no more than one-sixth of estimated annual escrow disbursements, roughly two months of escrow payments.</w:t>
      </w:r>
    </w:p>
    <w:p>
      <w:pPr>
        <w:pStyle w:val="Checklist"/>
      </w:pPr>
      <w:r>
        <w:rPr>
          <w:b/>
        </w:rPr>
        <w:t xml:space="preserve">☐ </w:t>
      </w:r>
      <w:r>
        <w:t>The federal rule sets a maximum, not a required cushion; a servicer can use a smaller cushion or no cushion.</w:t>
      </w:r>
    </w:p>
    <w:p>
      <w:pPr>
        <w:pStyle w:val="Checklist"/>
      </w:pPr>
      <w:r>
        <w:rPr>
          <w:b/>
        </w:rPr>
        <w:t xml:space="preserve">☐ </w:t>
      </w:r>
      <w:r>
        <w:t>Loan documents or applicable state law can impose a lower permissible cushion, and the lower limit controls when applicable.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Annual projected disbursements</w:t>
      </w:r>
    </w:p>
    <w:p>
      <w:pPr>
        <w:pStyle w:val="FillLine"/>
      </w:pPr>
      <w:r>
        <w:rPr>
          <w:color w:val="15332D"/>
          <w:sz w:val="21"/>
        </w:rPr>
        <w:t>Projected taxes: $__________   Insurance: $__________   Other escrow items: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One-sixth cross-check</w:t>
      </w:r>
    </w:p>
    <w:p>
      <w:pPr>
        <w:pStyle w:val="FillLine"/>
      </w:pPr>
      <w:r>
        <w:rPr>
          <w:color w:val="15332D"/>
          <w:sz w:val="21"/>
        </w:rPr>
        <w:t>Total annual disbursements: $__________   One-sixth maximum cross-check: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Projected low balance</w:t>
      </w:r>
    </w:p>
    <w:p>
      <w:pPr>
        <w:pStyle w:val="FillLine"/>
      </w:pPr>
      <w:r>
        <w:rPr>
          <w:color w:val="15332D"/>
          <w:sz w:val="21"/>
        </w:rPr>
        <w:t>Statement projected low balance: $__________   Cushion selected: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Timing notes</w:t>
      </w:r>
    </w:p>
    <w:p>
      <w:pPr>
        <w:pStyle w:val="FillLine"/>
      </w:pPr>
      <w:r>
        <w:rPr>
          <w:color w:val="15332D"/>
          <w:sz w:val="21"/>
        </w:rPr>
        <w:t>Largest disbursement / due date affecting low point: 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Questions to ask</w:t>
      </w:r>
    </w:p>
    <w:p>
      <w:pPr>
        <w:pStyle w:val="FillLine"/>
      </w:pPr>
      <w:r>
        <w:rPr>
          <w:color w:val="15332D"/>
          <w:sz w:val="21"/>
        </w:rPr>
        <w:t>Unexplained cushion or trial-balance question: 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Annual escrow analysis</w:t>
      </w:r>
    </w:p>
    <w:p>
      <w:pPr>
        <w:pStyle w:val="Checklist"/>
      </w:pPr>
      <w:r>
        <w:rPr>
          <w:b/>
        </w:rPr>
        <w:t xml:space="preserve">☐ </w:t>
      </w:r>
      <w:r>
        <w:t>Projected disbursement schedule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Use total projected annual disbursements, not the total mortgage payment, to calculate the one-sixth cross-check.</w:t>
      </w:r>
    </w:p>
    <w:p>
      <w:pPr>
        <w:pStyle w:val="Checklist"/>
      </w:pPr>
      <w:r>
        <w:rPr>
          <w:b/>
        </w:rPr>
        <w:t xml:space="preserve">☐ </w:t>
      </w:r>
      <w:r>
        <w:t>Compare the projected lowest month-end balance with the selected cushion after the full trial balance is considered; a single snapshot balance can be misleading.</w:t>
      </w:r>
    </w:p>
    <w:p>
      <w:pPr>
        <w:pStyle w:val="Checklist"/>
      </w:pPr>
      <w:r>
        <w:rPr>
          <w:b/>
        </w:rPr>
        <w:t xml:space="preserve">☐ </w:t>
      </w:r>
      <w:r>
        <w:t>If the mortgage documents state a lower reserve, preserve that clause and compare it with the amount used in the analysis.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1024.17(c)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