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RULE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Escrow Cushion Lower-Limit Review 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27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CHECK CUSHION LIMIT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Check whether the mortgage documents or applicable law specify a cushion lower than the federal maximum before treating two months as an automatic required balance.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Check whether the mortgage documents or applicable law specify a cushion lower than the federal maximum before treating two months as an automatic required balance.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1024.17(c) · 12 CFR § 1024.17(c)(8)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Regulation X generally caps the cushion at one-sixth of estimated annual escrow disbursements.</w:t>
      </w:r>
    </w:p>
    <w:p>
      <w:pPr>
        <w:pStyle w:val="Checklist"/>
      </w:pPr>
      <w:r>
        <w:rPr>
          <w:b/>
        </w:rPr>
        <w:t xml:space="preserve">☐ </w:t>
      </w:r>
      <w:r>
        <w:t>If the mortgage documents provide a lower cushion limit, that lower contractual limit applies; applicable federal or state law can also impose a lower amount.</w:t>
      </w:r>
    </w:p>
    <w:p>
      <w:pPr>
        <w:pStyle w:val="Checklist"/>
      </w:pPr>
      <w:r>
        <w:rPr>
          <w:b/>
        </w:rPr>
        <w:t xml:space="preserve">☐ </w:t>
      </w:r>
      <w:r>
        <w:t>A servicer may choose a lower cushion or no cushion even when the maximum would be permitted.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Federal maximum cross-check</w:t>
      </w:r>
    </w:p>
    <w:p>
      <w:pPr>
        <w:pStyle w:val="FillLine"/>
      </w:pPr>
      <w:r>
        <w:rPr>
          <w:color w:val="15332D"/>
          <w:sz w:val="21"/>
        </w:rPr>
        <w:t>Estimated annual escrow disbursements: $__________   One-sixth federal maximum: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Loan-document language</w:t>
      </w:r>
    </w:p>
    <w:p>
      <w:pPr>
        <w:pStyle w:val="FillLine"/>
      </w:pPr>
      <w:r>
        <w:rPr>
          <w:color w:val="15332D"/>
          <w:sz w:val="21"/>
        </w:rPr>
        <w:t>Lower cushion stated in mortgage documents? ____________________   Amount / formula: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Other applicable limit</w:t>
      </w:r>
    </w:p>
    <w:p>
      <w:pPr>
        <w:pStyle w:val="FillLine"/>
      </w:pPr>
      <w:r>
        <w:rPr>
          <w:color w:val="15332D"/>
          <w:sz w:val="21"/>
        </w:rPr>
        <w:t>Other lower limit claimed (state/federal/program): ____________________   Source: 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Statement cushion used</w:t>
      </w:r>
    </w:p>
    <w:p>
      <w:pPr>
        <w:pStyle w:val="FillLine"/>
      </w:pPr>
      <w:r>
        <w:rPr>
          <w:color w:val="15332D"/>
          <w:sz w:val="21"/>
        </w:rPr>
        <w:t>Cushion actually used on statement: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Question to resolve</w:t>
      </w:r>
    </w:p>
    <w:p>
      <w:pPr>
        <w:pStyle w:val="FillLine"/>
      </w:pPr>
      <w:r>
        <w:rPr>
          <w:color w:val="15332D"/>
          <w:sz w:val="21"/>
        </w:rPr>
        <w:t>Permitted amount vs amount used - variance / question: ___________________________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Mortgage or deed of trust escrow provisions</w:t>
      </w:r>
    </w:p>
    <w:p>
      <w:pPr>
        <w:pStyle w:val="Checklist"/>
      </w:pPr>
      <w:r>
        <w:rPr>
          <w:b/>
        </w:rPr>
        <w:t xml:space="preserve">☐ </w:t>
      </w:r>
      <w:r>
        <w:t>Annual escrow analysis</w:t>
      </w:r>
    </w:p>
    <w:p>
      <w:pPr>
        <w:pStyle w:val="Checklist"/>
      </w:pPr>
      <w:r>
        <w:rPr>
          <w:b/>
        </w:rPr>
        <w:t xml:space="preserve">☐ </w:t>
      </w:r>
      <w:r>
        <w:t>Any cited state-law or program requirement from the servicer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Quote or attach the exact mortgage-document clause that sets a lower reserve; do not rely on a remembered closing conversation.</w:t>
      </w:r>
    </w:p>
    <w:p>
      <w:pPr>
        <w:pStyle w:val="Checklist"/>
      </w:pPr>
      <w:r>
        <w:rPr>
          <w:b/>
        </w:rPr>
        <w:t xml:space="preserve">☐ </w:t>
      </w:r>
      <w:r>
        <w:t>Compare the selected cushion with the projected annual disbursement total and trial balance, not with the loan principal balance.</w:t>
      </w:r>
    </w:p>
    <w:p>
      <w:pPr>
        <w:pStyle w:val="Checklist"/>
      </w:pPr>
      <w:r>
        <w:rPr>
          <w:b/>
        </w:rPr>
        <w:t xml:space="preserve">☐ </w:t>
      </w:r>
      <w:r>
        <w:t>If state law is believed to set a lower cap, verify the current state rule from an authoritative source before asserting a servicing error.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1024.17(c) • 12 CFR § 1024.17(c)(8)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