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920"/>
        <w:gridCol w:w="2232"/>
      </w:tblGrid>
      <w:tr>
        <w:tc>
          <w:tcPr>
            <w:tcW w:type="dxa" w:w="5227"/>
            <w:shd w:fill="F6F1E7"/>
            <w:tcBorders>
              <w:top w:val="single" w:sz="0" w:color="F6F1E7"/>
              <w:left w:val="single" w:sz="0" w:color="F6F1E7"/>
              <w:bottom w:val="single" w:sz="0" w:color="F6F1E7"/>
              <w:right w:val="single" w:sz="0" w:color="F6F1E7"/>
              <w:insideH w:val="single" w:sz="0" w:color="F6F1E7"/>
              <w:insideV w:val="single" w:sz="0" w:color="F6F1E7"/>
            </w:tcBorders>
            <w:vAlign w:val="center"/>
          </w:tcPr>
          <w:p>
            <w:pPr>
              <w:spacing w:after="0"/>
            </w:pPr>
            <w:r>
              <w:rPr>
                <w:rFonts w:ascii="Aptos" w:hAnsi="Aptos"/>
                <w:b/>
                <w:color w:val="C57B46"/>
                <w:sz w:val="17"/>
              </w:rPr>
              <w:t>WORKSHEET</w:t>
            </w:r>
          </w:p>
          <w:p>
            <w:pPr>
              <w:spacing w:after="0"/>
            </w:pPr>
            <w:r>
              <w:rPr>
                <w:rFonts w:ascii="Aptos Display" w:hAnsi="Aptos Display"/>
                <w:b/>
                <w:color w:val="15332D"/>
                <w:sz w:val="46"/>
              </w:rPr>
              <w:t>Escrow Deficiency Repayment Rules Worksheet</w:t>
            </w:r>
          </w:p>
        </w:tc>
        <w:tc>
          <w:tcPr>
            <w:tcW w:type="dxa" w:w="5227"/>
            <w:shd w:fill="174F43"/>
            <w:tcBorders>
              <w:top w:val="single" w:sz="0" w:color="F6F1E7"/>
              <w:left w:val="single" w:sz="0" w:color="F6F1E7"/>
              <w:bottom w:val="single" w:sz="0" w:color="F6F1E7"/>
              <w:right w:val="single" w:sz="0" w:color="F6F1E7"/>
              <w:insideH w:val="single" w:sz="0" w:color="F6F1E7"/>
              <w:insideV w:val="single" w:sz="0" w:color="F6F1E7"/>
            </w:tcBorders>
            <w:vAlign w:val="center"/>
          </w:tcPr>
          <w:p>
            <w:pPr>
              <w:jc w:val="center"/>
            </w:pPr>
            <w:r>
              <w:rPr>
                <w:rFonts w:ascii="Aptos Display" w:hAnsi="Aptos Display"/>
                <w:b/>
                <w:color w:val="FFFFFF"/>
                <w:sz w:val="56"/>
              </w:rPr>
              <w:t>23</w:t>
            </w:r>
          </w:p>
          <w:p>
            <w:pPr>
              <w:jc w:val="center"/>
            </w:pPr>
            <w:r>
              <w:rPr>
                <w:rFonts w:ascii="Aptos" w:hAnsi="Aptos"/>
                <w:b/>
                <w:color w:val="DCEAE6"/>
                <w:sz w:val="15"/>
              </w:rPr>
              <w:t>TEST DEFICIENCY</w:t>
            </w:r>
          </w:p>
        </w:tc>
      </w:tr>
    </w:tbl>
    <w:p>
      <w:pPr>
        <w:spacing w:before="160" w:after="120"/>
      </w:pPr>
      <w:r>
        <w:rPr>
          <w:color w:val="48675F"/>
          <w:sz w:val="21"/>
        </w:rPr>
        <w:t>Use this when the escrow balance went below zero and the statement labels the amount a deficiency. Compare the amount with one monthly escrow payment and document the repayment treatment offered.</w:t>
      </w:r>
    </w:p>
    <w:tbl>
      <w:tblPr>
        <w:tblW w:type="auto" w:w="0"/>
        <w:tblLayout w:type="fixed"/>
        <w:tblLook w:firstColumn="1" w:firstRow="1" w:lastColumn="0" w:lastRow="0" w:noHBand="0" w:noVBand="1" w:val="04A0"/>
      </w:tblPr>
      <w:tblGrid>
        <w:gridCol w:w="5184"/>
        <w:gridCol w:w="4968"/>
      </w:tblGrid>
      <w:tr>
        <w:tc>
          <w:tcPr>
            <w:tcW w:type="dxa" w:w="5227"/>
            <w:shd w:fill="FFFDF9"/>
            <w:tcBorders>
              <w:top w:val="single" w:sz="6" w:color="D9DED8"/>
              <w:left w:val="single" w:sz="6" w:color="D9DED8"/>
              <w:bottom w:val="single" w:sz="6" w:color="D9DED8"/>
              <w:right w:val="single" w:sz="6" w:color="D9DED8"/>
              <w:insideH w:val="single" w:sz="6" w:color="D9DED8"/>
              <w:insideV w:val="single" w:sz="6" w:color="D9DED8"/>
            </w:tcBorders>
          </w:tcPr>
          <w:p>
            <w:r>
              <w:rPr>
                <w:b/>
                <w:color w:val="C57B46"/>
                <w:sz w:val="16"/>
              </w:rPr>
              <w:t>WHEN TO USE</w:t>
            </w:r>
          </w:p>
          <w:p>
            <w:pPr>
              <w:spacing w:after="0"/>
            </w:pPr>
            <w:r>
              <w:rPr>
                <w:sz w:val="18"/>
              </w:rPr>
              <w:t>Use this when the escrow balance went below zero and the statement labels the amount a deficiency. Compare the amount with one monthly escrow payment and document the repayment treatment offered.</w:t>
            </w:r>
          </w:p>
        </w:tc>
        <w:tc>
          <w:tcPr>
            <w:tcW w:type="dxa" w:w="5227"/>
            <w:shd w:fill="FFFDF9"/>
            <w:tcBorders>
              <w:top w:val="single" w:sz="6" w:color="D9DED8"/>
              <w:left w:val="single" w:sz="6" w:color="D9DED8"/>
              <w:bottom w:val="single" w:sz="6" w:color="D9DED8"/>
              <w:right w:val="single" w:sz="6" w:color="D9DED8"/>
              <w:insideH w:val="single" w:sz="6" w:color="D9DED8"/>
              <w:insideV w:val="single" w:sz="6" w:color="D9DED8"/>
            </w:tcBorders>
          </w:tcPr>
          <w:p>
            <w:r>
              <w:rPr>
                <w:b/>
                <w:color w:val="C57B46"/>
                <w:sz w:val="16"/>
              </w:rPr>
              <w:t>FEDERAL / PRIMARY REFERENCE</w:t>
            </w:r>
          </w:p>
          <w:p>
            <w:pPr>
              <w:spacing w:after="0"/>
            </w:pPr>
            <w:r>
              <w:rPr>
                <w:sz w:val="18"/>
              </w:rPr>
              <w:t>12 CFR § 1024.17(f) · 12 CFR § 1024.17(b)</w:t>
            </w:r>
          </w:p>
        </w:tc>
      </w:tr>
    </w:tbl>
    <w:p>
      <w:pPr>
        <w:pStyle w:val="Heading1"/>
      </w:pPr>
      <w:r>
        <w:t>Federal baseline to check</w:t>
      </w:r>
    </w:p>
    <w:p>
      <w:pPr>
        <w:pStyle w:val="Checklist"/>
      </w:pPr>
      <w:r>
        <w:rPr>
          <w:b/>
        </w:rPr>
        <w:t xml:space="preserve">☐ </w:t>
      </w:r>
      <w:r>
        <w:t>A deficiency is a negative escrow account balance confirmed by an escrow analysis.</w:t>
      </w:r>
    </w:p>
    <w:p>
      <w:pPr>
        <w:pStyle w:val="Checklist"/>
      </w:pPr>
      <w:r>
        <w:rPr>
          <w:b/>
        </w:rPr>
        <w:t xml:space="preserve">☐ </w:t>
      </w:r>
      <w:r>
        <w:t>If the deficiency is less than one monthly escrow payment and the borrower is current, the servicer may leave it, require repayment within 30 days, or require two or more equal monthly payments.</w:t>
      </w:r>
    </w:p>
    <w:p>
      <w:pPr>
        <w:pStyle w:val="Checklist"/>
      </w:pPr>
      <w:r>
        <w:rPr>
          <w:b/>
        </w:rPr>
        <w:t xml:space="preserve">☐ </w:t>
      </w:r>
      <w:r>
        <w:t>If the deficiency is at least one monthly escrow payment and the borrower is current, the servicer may leave it or require repayment in two or more equal monthly payments; if the borrower is not current, the mortgage documents can govern recovery.</w:t>
      </w:r>
    </w:p>
    <w:p>
      <w:pPr>
        <w:spacing w:before="160" w:after="80"/>
      </w:pPr>
      <w:r>
        <w:rPr>
          <w:rFonts w:ascii="Aptos" w:hAnsi="Aptos"/>
          <w:b/>
          <w:color w:val="C57B46"/>
          <w:sz w:val="17"/>
        </w:rPr>
        <w:t>BORROWER AND LOAN</w:t>
      </w:r>
    </w:p>
    <w:tbl>
      <w:tblPr>
        <w:tblW w:type="auto" w:w="0"/>
        <w:tblLayout w:type="autofit"/>
        <w:tblLook w:firstColumn="1" w:firstRow="1" w:lastColumn="0" w:lastRow="0" w:noHBand="0" w:noVBand="1" w:val="04A0"/>
      </w:tblPr>
      <w:tblGrid>
        <w:gridCol w:w="5227"/>
        <w:gridCol w:w="5227"/>
      </w:tblGrid>
      <w:tr>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Borrower name</w:t>
              <w:br/>
            </w:r>
            <w:r>
              <w:rPr>
                <w:sz w:val="20"/>
              </w:rPr>
              <w:t>________________________________</w:t>
            </w:r>
          </w:p>
        </w:tc>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Property address</w:t>
              <w:br/>
            </w:r>
            <w:r>
              <w:rPr>
                <w:sz w:val="20"/>
              </w:rPr>
              <w:t>________________________________</w:t>
            </w:r>
          </w:p>
        </w:tc>
      </w:tr>
      <w:tr>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Loan/account number</w:t>
              <w:br/>
            </w:r>
            <w:r>
              <w:rPr>
                <w:sz w:val="20"/>
              </w:rPr>
              <w:t>________________________________</w:t>
            </w:r>
          </w:p>
        </w:tc>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Servicer name</w:t>
              <w:br/>
            </w:r>
            <w:r>
              <w:rPr>
                <w:sz w:val="20"/>
              </w:rPr>
              <w:t>________________________________</w:t>
            </w:r>
          </w:p>
        </w:tc>
      </w:tr>
    </w:tbl>
    <w:p>
      <w:pPr>
        <w:pStyle w:val="Heading2"/>
      </w:pPr>
      <w:r>
        <w:t>Negative balance</w:t>
      </w:r>
    </w:p>
    <w:p>
      <w:pPr>
        <w:pStyle w:val="FillLine"/>
      </w:pPr>
      <w:r>
        <w:rPr>
          <w:color w:val="15332D"/>
          <w:sz w:val="21"/>
        </w:rPr>
        <w:t>Lowest / negative escrow balance: $__________ on __________</w:t>
      </w:r>
    </w:p>
    <w:p>
      <w:pPr>
        <w:pStyle w:val="FillLine"/>
      </w:pPr>
      <w:r>
        <w:rPr>
          <w:color w:val="15332D"/>
          <w:sz w:val="21"/>
        </w:rPr>
        <w:t>Notes: ______________________________________________________________________________</w:t>
      </w:r>
    </w:p>
    <w:p>
      <w:pPr>
        <w:pStyle w:val="Heading2"/>
      </w:pPr>
      <w:r>
        <w:t>One-month threshold</w:t>
      </w:r>
    </w:p>
    <w:p>
      <w:pPr>
        <w:pStyle w:val="FillLine"/>
      </w:pPr>
      <w:r>
        <w:rPr>
          <w:color w:val="15332D"/>
          <w:sz w:val="21"/>
        </w:rPr>
        <w:t>Monthly escrow payment used for threshold: $__________</w:t>
      </w:r>
    </w:p>
    <w:p>
      <w:pPr>
        <w:pStyle w:val="FillLine"/>
      </w:pPr>
      <w:r>
        <w:rPr>
          <w:color w:val="15332D"/>
          <w:sz w:val="21"/>
        </w:rPr>
        <w:t>Notes: ______________________________________________________________________________</w:t>
      </w:r>
    </w:p>
    <w:p>
      <w:pPr>
        <w:pStyle w:val="Heading2"/>
      </w:pPr>
      <w:r>
        <w:t>Repayment treatment</w:t>
      </w:r>
    </w:p>
    <w:p>
      <w:pPr>
        <w:pStyle w:val="FillLine"/>
      </w:pPr>
      <w:r>
        <w:rPr>
          <w:color w:val="15332D"/>
          <w:sz w:val="21"/>
        </w:rPr>
        <w:t>Deficiency: $__________   Repayment treatment / number of installments: ____________________</w:t>
      </w:r>
    </w:p>
    <w:p>
      <w:pPr>
        <w:pStyle w:val="FillLine"/>
      </w:pPr>
      <w:r>
        <w:rPr>
          <w:color w:val="15332D"/>
          <w:sz w:val="21"/>
        </w:rPr>
        <w:t>Notes: ______________________________________________________________________________</w:t>
      </w:r>
    </w:p>
    <w:p>
      <w:pPr>
        <w:pStyle w:val="Heading2"/>
      </w:pPr>
      <w:r>
        <w:t>Current-status check</w:t>
      </w:r>
    </w:p>
    <w:p>
      <w:pPr>
        <w:pStyle w:val="FillLine"/>
      </w:pPr>
      <w:r>
        <w:rPr>
          <w:color w:val="15332D"/>
          <w:sz w:val="21"/>
        </w:rPr>
        <w:t>Current within 30 days of due date at analysis? Yes / No / Unsure</w:t>
      </w:r>
    </w:p>
    <w:p>
      <w:pPr>
        <w:pStyle w:val="FillLine"/>
      </w:pPr>
      <w:r>
        <w:rPr>
          <w:color w:val="15332D"/>
          <w:sz w:val="21"/>
        </w:rPr>
        <w:t>Notes: ______________________________________________________________________________</w:t>
      </w:r>
    </w:p>
    <w:p>
      <w:pPr>
        <w:pStyle w:val="Heading2"/>
      </w:pPr>
      <w:r>
        <w:t>Ledger evidence</w:t>
      </w:r>
    </w:p>
    <w:p>
      <w:pPr>
        <w:pStyle w:val="FillLine"/>
      </w:pPr>
      <w:r>
        <w:rPr>
          <w:color w:val="15332D"/>
          <w:sz w:val="21"/>
        </w:rPr>
        <w:t>Advance/disbursement creating deficiency: $__________ on __________   Analysis date: __________</w:t>
      </w:r>
    </w:p>
    <w:p>
      <w:pPr>
        <w:pStyle w:val="FillLine"/>
      </w:pPr>
      <w:r>
        <w:rPr>
          <w:color w:val="15332D"/>
          <w:sz w:val="21"/>
        </w:rPr>
        <w:t>Notes: ______________________________________________________________________________</w:t>
      </w:r>
    </w:p>
    <w:p>
      <w:pPr>
        <w:pStyle w:val="Heading1"/>
      </w:pPr>
      <w:r>
        <w:t>Attachment checklist</w:t>
      </w:r>
    </w:p>
    <w:p>
      <w:pPr>
        <w:pStyle w:val="Checklist"/>
      </w:pPr>
      <w:r>
        <w:rPr>
          <w:b/>
        </w:rPr>
        <w:t xml:space="preserve">☐ </w:t>
      </w:r>
      <w:r>
        <w:t>Escrow analysis showing deficiency</w:t>
      </w:r>
    </w:p>
    <w:p>
      <w:pPr>
        <w:pStyle w:val="Checklist"/>
      </w:pPr>
      <w:r>
        <w:rPr>
          <w:b/>
        </w:rPr>
        <w:t xml:space="preserve">☐ </w:t>
      </w:r>
      <w:r>
        <w:t>Escrow transaction history</w:t>
      </w:r>
    </w:p>
    <w:p>
      <w:pPr>
        <w:pStyle w:val="Checklist"/>
      </w:pPr>
      <w:r>
        <w:rPr>
          <w:b/>
        </w:rPr>
        <w:t xml:space="preserve">☐ </w:t>
      </w:r>
      <w:r>
        <w:t>Current mortgage statement</w:t>
      </w:r>
    </w:p>
    <w:p>
      <w:pPr>
        <w:pStyle w:val="Checklist"/>
      </w:pPr>
      <w:r>
        <w:rPr>
          <w:b/>
        </w:rPr>
        <w:t xml:space="preserve">☐ </w:t>
      </w:r>
      <w:r>
        <w:t>Copy of this completed template retained for your records</w:t>
      </w:r>
    </w:p>
    <w:p>
      <w:pPr>
        <w:pStyle w:val="Checklist"/>
      </w:pPr>
      <w:r>
        <w:rPr>
          <w:b/>
        </w:rPr>
        <w:t xml:space="preserve">☐ </w:t>
      </w:r>
      <w:r>
        <w:t>Mailing / delivery confirmation retained if sent formally</w:t>
      </w:r>
    </w:p>
    <w:p>
      <w:pPr>
        <w:pStyle w:val="Heading1"/>
      </w:pPr>
      <w:r>
        <w:t>Use notes</w:t>
      </w:r>
    </w:p>
    <w:p>
      <w:pPr>
        <w:pStyle w:val="Checklist"/>
      </w:pPr>
      <w:r>
        <w:rPr>
          <w:b/>
        </w:rPr>
        <w:t xml:space="preserve">☐ </w:t>
      </w:r>
      <w:r>
        <w:t>Use the negative balance shown by the ledger and the deficiency amount shown by the analysis; they can differ if later deposits or adjustments occurred before analysis.</w:t>
      </w:r>
    </w:p>
    <w:p>
      <w:pPr>
        <w:pStyle w:val="Checklist"/>
      </w:pPr>
      <w:r>
        <w:rPr>
          <w:b/>
        </w:rPr>
        <w:t xml:space="preserve">☐ </w:t>
      </w:r>
      <w:r>
        <w:t>Record whether the borrower was current under the rule's 30-day test at analysis because that changes the federal repayment framework.</w:t>
      </w:r>
    </w:p>
    <w:p>
      <w:pPr>
        <w:pStyle w:val="Checklist"/>
      </w:pPr>
      <w:r>
        <w:rPr>
          <w:b/>
        </w:rPr>
        <w:t xml:space="preserve">☐ </w:t>
      </w:r>
      <w:r>
        <w:t>Do not apply the 12-month shortage rule to a deficiency; the rule's minimum installment structure is different.</w:t>
      </w:r>
    </w:p>
    <w:p>
      <w:pPr>
        <w:pStyle w:val="Checklist"/>
      </w:pPr>
      <w:r>
        <w:rPr>
          <w:b/>
        </w:rPr>
        <w:t xml:space="preserve">☐ </w:t>
      </w:r>
      <w:r>
        <w:t>Keep a complete copy of the completed template and supporting records; send copies rather than irreplaceable originals when copies are sufficient.</w:t>
      </w:r>
    </w:p>
    <w:p>
      <w:pPr>
        <w:spacing w:before="180"/>
      </w:pPr>
      <w:r>
        <w:rPr>
          <w:b/>
          <w:color w:val="C57B46"/>
          <w:sz w:val="16"/>
        </w:rPr>
        <w:t>PRIMARY SOURCES TO CHECK</w:t>
      </w:r>
    </w:p>
    <w:p>
      <w:r>
        <w:rPr>
          <w:color w:val="48675F"/>
          <w:sz w:val="17"/>
        </w:rPr>
        <w:t>12 CFR § 1024.17(f) • 12 CFR § 1024.17(b)</w:t>
      </w:r>
    </w:p>
    <w:p>
      <w:pPr>
        <w:keepNext w:val="0"/>
        <w:spacing w:after="0"/>
      </w:pPr>
      <w:r>
        <w:rPr>
          <w:color w:val="48675F"/>
          <w:sz w:val="13"/>
        </w:rPr>
        <w:t>Official links: https://www.consumerfinance.gov/rules-policy/regulations/1024/17/</w:t>
      </w:r>
    </w:p>
    <w:sectPr w:rsidR="00FC693F" w:rsidRPr="0006063C" w:rsidSect="00034616">
      <w:headerReference w:type="default" r:id="rId9"/>
      <w:footerReference w:type="default" r:id="rId10"/>
      <w:pgSz w:w="12240" w:h="15840"/>
      <w:pgMar w:top="792" w:right="893" w:bottom="792" w:left="893" w:header="317"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48675F"/>
        <w:sz w:val="15"/>
      </w:rPr>
      <w:t>EscrowGuide  |  Educational worksheet - not legal, tax, lending, or insurance advice  |  escrowguide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174F43"/>
        <w:sz w:val="16"/>
      </w:rPr>
      <w:t>ESCROWGUIDE  /  FREE HOMEOWNER RESOURCE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15332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5332D"/>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C57B4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Aptos Display" w:hAnsi="Aptos Display"/>
      <w:b/>
      <w:color w:val="15332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llLine">
    <w:name w:val="FillLine"/>
    <w:pPr>
      <w:spacing w:after="160"/>
      <w:pBdr>
        <w:bottom w:val="single" w:sz="4" w:space="2" w:color="B9C9C3"/>
      </w:pBdr>
    </w:pPr>
    <w:rPr>
      <w:rFonts w:ascii="Aptos" w:hAnsi="Aptos"/>
      <w:sz w:val="21"/>
    </w:rPr>
  </w:style>
  <w:style w:type="paragraph" w:customStyle="1" w:styleId="Checklist">
    <w:name w:val="Checklist"/>
    <w:pPr>
      <w:spacing w:after="80"/>
      <w:ind w:left="72"/>
    </w:pPr>
    <w:rPr>
      <w:rFonts w:ascii="Aptos" w:hAnsi="Aptos"/>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