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EVIDENCE WORKSHEET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Escrow Error Evidence Timeline Worksheet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38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BUILD EVIDENCE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Place the outside bill, servicer transaction, statement, notice, phone contact, and correction on one dated timeline before drafting an escrow dispute.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Place the outside bill, servicer transaction, statement, notice, phone contact, and correction on one dated timeline before drafting an escrow dispute.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1024.35 · 12 CFR § 1024.36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A useful escrow dispute separates outside evidence (tax/insurance records) from servicing evidence (ledger entries, analyses, statements, notices).</w:t>
      </w:r>
    </w:p>
    <w:p>
      <w:pPr>
        <w:pStyle w:val="Checklist"/>
      </w:pPr>
      <w:r>
        <w:rPr>
          <w:b/>
        </w:rPr>
        <w:t xml:space="preserve">☐ </w:t>
      </w:r>
      <w:r>
        <w:t>Regulation X NOE procedures apply to servicing errors, not loan origination/underwriting complaints; the timeline should make the servicing event explicit.</w:t>
      </w:r>
    </w:p>
    <w:p>
      <w:pPr>
        <w:pStyle w:val="Checklist"/>
      </w:pPr>
      <w:r>
        <w:rPr>
          <w:b/>
        </w:rPr>
        <w:t xml:space="preserve">☐ </w:t>
      </w:r>
      <w:r>
        <w:t>An RFI can be used to obtain missing servicing records before or alongside a specific NOE when the borrower cannot yet prove which entry is wrong.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Underlying obligation</w:t>
      </w:r>
    </w:p>
    <w:p>
      <w:pPr>
        <w:pStyle w:val="FillLine"/>
      </w:pPr>
      <w:r>
        <w:rPr>
          <w:color w:val="15332D"/>
          <w:sz w:val="21"/>
        </w:rPr>
        <w:t>Outside obligation (tax/insurance) date / amount / source: ________________________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Servicer transaction</w:t>
      </w:r>
    </w:p>
    <w:p>
      <w:pPr>
        <w:pStyle w:val="FillLine"/>
      </w:pPr>
      <w:r>
        <w:rPr>
          <w:color w:val="15332D"/>
          <w:sz w:val="21"/>
        </w:rPr>
        <w:t>Servicer transaction date / amount / source: ____________________________________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First visible mismatch</w:t>
      </w:r>
    </w:p>
    <w:p>
      <w:pPr>
        <w:pStyle w:val="FillLine"/>
      </w:pPr>
      <w:r>
        <w:rPr>
          <w:color w:val="15332D"/>
          <w:sz w:val="21"/>
        </w:rPr>
        <w:t>First date and amount where records diverge: ____________________________________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Contact history</w:t>
      </w:r>
    </w:p>
    <w:p>
      <w:pPr>
        <w:pStyle w:val="FillLine"/>
      </w:pPr>
      <w:r>
        <w:rPr>
          <w:color w:val="15332D"/>
          <w:sz w:val="21"/>
        </w:rPr>
        <w:t>Written contact / NOE / RFI sent and delivered: _________________________________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Correction / open issue</w:t>
      </w:r>
    </w:p>
    <w:p>
      <w:pPr>
        <w:pStyle w:val="FillLine"/>
      </w:pPr>
      <w:r>
        <w:rPr>
          <w:color w:val="15332D"/>
          <w:sz w:val="21"/>
        </w:rPr>
        <w:t>Correction / response / remaining unexplained variance: __________________________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Tax or insurance source record</w:t>
      </w:r>
    </w:p>
    <w:p>
      <w:pPr>
        <w:pStyle w:val="Checklist"/>
      </w:pPr>
      <w:r>
        <w:rPr>
          <w:b/>
        </w:rPr>
        <w:t xml:space="preserve">☐ </w:t>
      </w:r>
      <w:r>
        <w:t>Escrow transaction history</w:t>
      </w:r>
    </w:p>
    <w:p>
      <w:pPr>
        <w:pStyle w:val="Checklist"/>
      </w:pPr>
      <w:r>
        <w:rPr>
          <w:b/>
        </w:rPr>
        <w:t xml:space="preserve">☐ </w:t>
      </w:r>
      <w:r>
        <w:t>Relevant mortgage statements</w:t>
      </w:r>
    </w:p>
    <w:p>
      <w:pPr>
        <w:pStyle w:val="Checklist"/>
      </w:pPr>
      <w:r>
        <w:rPr>
          <w:b/>
        </w:rPr>
        <w:t xml:space="preserve">☐ </w:t>
      </w:r>
      <w:r>
        <w:t>Prior communications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Enter one event per line with date, source, amount, and what the event proves. Avoid narrative summaries that merge several dates into one entry.</w:t>
      </w:r>
    </w:p>
    <w:p>
      <w:pPr>
        <w:pStyle w:val="Checklist"/>
      </w:pPr>
      <w:r>
        <w:rPr>
          <w:b/>
        </w:rPr>
        <w:t xml:space="preserve">☐ </w:t>
      </w:r>
      <w:r>
        <w:t>Preserve original source documents and work from copies; portal histories and insurer/tax ledgers can later change or disappear.</w:t>
      </w:r>
    </w:p>
    <w:p>
      <w:pPr>
        <w:pStyle w:val="Checklist"/>
      </w:pPr>
      <w:r>
        <w:rPr>
          <w:b/>
        </w:rPr>
        <w:t xml:space="preserve">☐ </w:t>
      </w:r>
      <w:r>
        <w:t>Before drafting a dispute, identify the first point where the outside record and servicer record diverge; that point often defines the cleanest allegation.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1024.35 • 12 CFR § 1024.36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https://www.consumerfinance.gov/rules-policy/regulations/1024/35/  |  https://www.consumerfinance.gov/rules-policy/regulations/1024/36/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