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0"/>
        <w:gridCol w:w="2232"/>
      </w:tblGrid>
      <w:tr>
        <w:tc>
          <w:tcPr>
            <w:tcW w:type="dxa" w:w="5227"/>
            <w:shd w:fill="F6F1E7"/>
            <w:tcBorders>
              <w:top w:val="single" w:sz="0" w:color="F6F1E7"/>
              <w:left w:val="single" w:sz="0" w:color="F6F1E7"/>
              <w:bottom w:val="single" w:sz="0" w:color="F6F1E7"/>
              <w:right w:val="single" w:sz="0" w:color="F6F1E7"/>
              <w:insideH w:val="single" w:sz="0" w:color="F6F1E7"/>
              <w:insideV w:val="single" w:sz="0" w:color="F6F1E7"/>
            </w:tcBorders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color w:val="C57B46"/>
                <w:sz w:val="17"/>
              </w:rPr>
              <w:t>TRACKER</w:t>
            </w:r>
          </w:p>
          <w:p>
            <w:pPr>
              <w:spacing w:after="0"/>
            </w:pPr>
            <w:r>
              <w:rPr>
                <w:rFonts w:ascii="Aptos Display" w:hAnsi="Aptos Display"/>
                <w:b/>
                <w:color w:val="15332D"/>
                <w:sz w:val="46"/>
              </w:rPr>
              <w:t>Escrow Shortage Payment Tracker</w:t>
            </w:r>
          </w:p>
        </w:tc>
        <w:tc>
          <w:tcPr>
            <w:tcW w:type="dxa" w:w="5227"/>
            <w:shd w:fill="174F43"/>
            <w:tcBorders>
              <w:top w:val="single" w:sz="0" w:color="F6F1E7"/>
              <w:left w:val="single" w:sz="0" w:color="F6F1E7"/>
              <w:bottom w:val="single" w:sz="0" w:color="F6F1E7"/>
              <w:right w:val="single" w:sz="0" w:color="F6F1E7"/>
              <w:insideH w:val="single" w:sz="0" w:color="F6F1E7"/>
              <w:insideV w:val="single" w:sz="0" w:color="F6F1E7"/>
            </w:tcBorders>
            <w:vAlign w:val="center"/>
          </w:tcPr>
          <w:p>
            <w:pPr>
              <w:jc w:val="center"/>
            </w:pPr>
            <w:r>
              <w:rPr>
                <w:rFonts w:ascii="Aptos Display" w:hAnsi="Aptos Display"/>
                <w:b/>
                <w:color w:val="FFFFFF"/>
                <w:sz w:val="56"/>
              </w:rPr>
              <w:t>04</w:t>
            </w:r>
          </w:p>
          <w:p>
            <w:pPr>
              <w:jc w:val="center"/>
            </w:pPr>
            <w:r>
              <w:rPr>
                <w:rFonts w:ascii="Aptos" w:hAnsi="Aptos"/>
                <w:b/>
                <w:color w:val="DCEAE6"/>
                <w:sz w:val="15"/>
              </w:rPr>
              <w:t>TRACK REPAYMENT</w:t>
            </w:r>
          </w:p>
        </w:tc>
      </w:tr>
    </w:tbl>
    <w:p>
      <w:pPr>
        <w:spacing w:before="160" w:after="120"/>
      </w:pPr>
      <w:r>
        <w:rPr>
          <w:color w:val="48675F"/>
          <w:sz w:val="21"/>
        </w:rPr>
        <w:t>Track a shortage repayment separately from the recurring tax-and-insurance escrow deposit so the temporary catch-up does not get confused with the permanent payment level.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84"/>
        <w:gridCol w:w="4968"/>
      </w:tblGrid>
      <w:tr>
        <w:tc>
          <w:tcPr>
            <w:tcW w:type="dxa" w:w="5227"/>
            <w:shd w:fill="FFFDF9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</w:tcPr>
          <w:p>
            <w:r>
              <w:rPr>
                <w:b/>
                <w:color w:val="C57B46"/>
                <w:sz w:val="16"/>
              </w:rPr>
              <w:t>WHEN TO USE</w:t>
            </w:r>
          </w:p>
          <w:p>
            <w:pPr>
              <w:spacing w:after="0"/>
            </w:pPr>
            <w:r>
              <w:rPr>
                <w:sz w:val="18"/>
              </w:rPr>
              <w:t>Track a shortage repayment separately from the recurring tax-and-insurance escrow deposit so the temporary catch-up does not get confused with the permanent payment level.</w:t>
            </w:r>
          </w:p>
        </w:tc>
        <w:tc>
          <w:tcPr>
            <w:tcW w:type="dxa" w:w="5227"/>
            <w:shd w:fill="FFFDF9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</w:tcPr>
          <w:p>
            <w:r>
              <w:rPr>
                <w:b/>
                <w:color w:val="C57B46"/>
                <w:sz w:val="16"/>
              </w:rPr>
              <w:t>FEDERAL / PRIMARY REFERENCE</w:t>
            </w:r>
          </w:p>
          <w:p>
            <w:pPr>
              <w:spacing w:after="0"/>
            </w:pPr>
            <w:r>
              <w:rPr>
                <w:sz w:val="18"/>
              </w:rPr>
              <w:t>12 CFR § 1024.17(f)</w:t>
            </w:r>
          </w:p>
        </w:tc>
      </w:tr>
    </w:tbl>
    <w:p>
      <w:pPr>
        <w:pStyle w:val="Heading1"/>
      </w:pPr>
      <w:r>
        <w:t>Federal baseline to check</w:t>
      </w:r>
    </w:p>
    <w:p>
      <w:pPr>
        <w:pStyle w:val="Checklist"/>
      </w:pPr>
      <w:r>
        <w:rPr>
          <w:b/>
        </w:rPr>
        <w:t xml:space="preserve">☐ </w:t>
      </w:r>
      <w:r>
        <w:t>A shortage is the amount by which the current escrow balance falls below the target balance at the time of analysis; it is not the same as a negative-balance deficiency.</w:t>
      </w:r>
    </w:p>
    <w:p>
      <w:pPr>
        <w:pStyle w:val="Checklist"/>
      </w:pPr>
      <w:r>
        <w:rPr>
          <w:b/>
        </w:rPr>
        <w:t xml:space="preserve">☐ </w:t>
      </w:r>
      <w:r>
        <w:t>If a shortage is less than one monthly escrow payment, the servicer may leave it alone, require repayment within 30 days, or spread repayment over at least 12 months.</w:t>
      </w:r>
    </w:p>
    <w:p>
      <w:pPr>
        <w:pStyle w:val="Checklist"/>
      </w:pPr>
      <w:r>
        <w:rPr>
          <w:b/>
        </w:rPr>
        <w:t xml:space="preserve">☐ </w:t>
      </w:r>
      <w:r>
        <w:t>If a shortage is at least one monthly escrow payment, the federal rule permits the servicer to leave it alone or spread repayment over at least 12 months.</w:t>
      </w:r>
    </w:p>
    <w:p>
      <w:pPr>
        <w:spacing w:before="160" w:after="80"/>
      </w:pPr>
      <w:r>
        <w:rPr>
          <w:rFonts w:ascii="Aptos" w:hAnsi="Aptos"/>
          <w:b/>
          <w:color w:val="C57B46"/>
          <w:sz w:val="17"/>
        </w:rPr>
        <w:t>BORROWER AND LOAN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Borrower name</w:t>
              <w:br/>
            </w:r>
            <w:r>
              <w:rPr>
                <w:sz w:val="20"/>
              </w:rPr>
              <w:t>________________________________</w:t>
            </w:r>
          </w:p>
        </w:tc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Property address</w:t>
              <w:br/>
            </w:r>
            <w:r>
              <w:rPr>
                <w:sz w:val="20"/>
              </w:rPr>
              <w:t>________________________________</w:t>
            </w:r>
          </w:p>
        </w:tc>
      </w:tr>
      <w:tr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Loan/account number</w:t>
              <w:br/>
            </w:r>
            <w:r>
              <w:rPr>
                <w:sz w:val="20"/>
              </w:rPr>
              <w:t>________________________________</w:t>
            </w:r>
          </w:p>
        </w:tc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Servicer name</w:t>
              <w:br/>
            </w:r>
            <w:r>
              <w:rPr>
                <w:sz w:val="20"/>
              </w:rPr>
              <w:t>________________________________</w:t>
            </w:r>
          </w:p>
        </w:tc>
      </w:tr>
    </w:tbl>
    <w:p>
      <w:pPr>
        <w:pStyle w:val="Heading2"/>
      </w:pPr>
      <w:r>
        <w:t>Shortage setup</w:t>
      </w:r>
    </w:p>
    <w:p>
      <w:pPr>
        <w:pStyle w:val="FillLine"/>
      </w:pPr>
      <w:r>
        <w:rPr>
          <w:color w:val="15332D"/>
          <w:sz w:val="21"/>
        </w:rPr>
        <w:t>Official shortage: $__________   Monthly escrow payment used for threshold: $__________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Monthly tracking</w:t>
      </w:r>
    </w:p>
    <w:p>
      <w:pPr>
        <w:pStyle w:val="FillLine"/>
      </w:pPr>
      <w:r>
        <w:rPr>
          <w:color w:val="15332D"/>
          <w:sz w:val="21"/>
        </w:rPr>
        <w:t>Repayment start: __________   Planned months: ______   Shortage installment: $__________/mo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End-of-period reconciliation</w:t>
      </w:r>
    </w:p>
    <w:p>
      <w:pPr>
        <w:pStyle w:val="FillLine"/>
      </w:pPr>
      <w:r>
        <w:rPr>
          <w:color w:val="15332D"/>
          <w:sz w:val="21"/>
        </w:rPr>
        <w:t>Catch-up end: __________   Recurring escrow after catch-up: $__________/mo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1"/>
      </w:pPr>
      <w:r>
        <w:t>Attachment checklist</w:t>
      </w:r>
    </w:p>
    <w:p>
      <w:pPr>
        <w:pStyle w:val="Checklist"/>
      </w:pPr>
      <w:r>
        <w:rPr>
          <w:b/>
        </w:rPr>
        <w:t xml:space="preserve">☐ </w:t>
      </w:r>
      <w:r>
        <w:t>Escrow analysis showing shortage amount</w:t>
      </w:r>
    </w:p>
    <w:p>
      <w:pPr>
        <w:pStyle w:val="Checklist"/>
      </w:pPr>
      <w:r>
        <w:rPr>
          <w:b/>
        </w:rPr>
        <w:t xml:space="preserve">☐ </w:t>
      </w:r>
      <w:r>
        <w:t>Monthly statements during the repayment period</w:t>
      </w:r>
    </w:p>
    <w:p>
      <w:pPr>
        <w:pStyle w:val="Checklist"/>
      </w:pPr>
      <w:r>
        <w:rPr>
          <w:b/>
        </w:rPr>
        <w:t xml:space="preserve">☐ </w:t>
      </w:r>
      <w:r>
        <w:t>Copy of this completed template retained for your records</w:t>
      </w:r>
    </w:p>
    <w:p>
      <w:pPr>
        <w:pStyle w:val="Checklist"/>
      </w:pPr>
      <w:r>
        <w:rPr>
          <w:b/>
        </w:rPr>
        <w:t xml:space="preserve">☐ </w:t>
      </w:r>
      <w:r>
        <w:t>Mailing / delivery confirmation retained if sent formally</w:t>
      </w:r>
    </w:p>
    <w:p>
      <w:pPr>
        <w:pStyle w:val="Heading1"/>
      </w:pPr>
      <w:r>
        <w:t>Use notes</w:t>
      </w:r>
    </w:p>
    <w:p>
      <w:pPr>
        <w:pStyle w:val="Checklist"/>
      </w:pPr>
      <w:r>
        <w:rPr>
          <w:b/>
        </w:rPr>
        <w:t xml:space="preserve">☐ </w:t>
      </w:r>
      <w:r>
        <w:t>Track the shortage catch-up separately from the new recurring escrow deposit. Paying the shortage does not erase a tax or insurance increase built into the new recurring amount.</w:t>
      </w:r>
    </w:p>
    <w:p>
      <w:pPr>
        <w:pStyle w:val="Checklist"/>
      </w:pPr>
      <w:r>
        <w:rPr>
          <w:b/>
        </w:rPr>
        <w:t xml:space="preserve">☐ </w:t>
      </w:r>
      <w:r>
        <w:t>Use the repayment term actually shown by the servicer; a lump-sum payoff is not a federal entitlement for every shortage size.</w:t>
      </w:r>
    </w:p>
    <w:p>
      <w:pPr>
        <w:pStyle w:val="Checklist"/>
      </w:pPr>
      <w:r>
        <w:rPr>
          <w:b/>
        </w:rPr>
        <w:t xml:space="preserve">☐ </w:t>
      </w:r>
      <w:r>
        <w:t>After the catch-up period ends, verify that the temporary shortage component disappears from the total payment when expected.</w:t>
      </w:r>
    </w:p>
    <w:p>
      <w:pPr>
        <w:pStyle w:val="Checklist"/>
      </w:pPr>
      <w:r>
        <w:rPr>
          <w:b/>
        </w:rPr>
        <w:t xml:space="preserve">☐ </w:t>
      </w:r>
      <w:r>
        <w:t>Keep a complete copy of the completed template and supporting records; send copies rather than irreplaceable originals when copies are sufficient.</w:t>
      </w:r>
    </w:p>
    <w:p>
      <w:pPr>
        <w:spacing w:before="180"/>
      </w:pPr>
      <w:r>
        <w:rPr>
          <w:b/>
          <w:color w:val="C57B46"/>
          <w:sz w:val="16"/>
        </w:rPr>
        <w:t>PRIMARY SOURCES TO CHECK</w:t>
      </w:r>
    </w:p>
    <w:p>
      <w:r>
        <w:rPr>
          <w:color w:val="48675F"/>
          <w:sz w:val="17"/>
        </w:rPr>
        <w:t>12 CFR § 1024.17(f)</w:t>
      </w:r>
    </w:p>
    <w:p>
      <w:pPr>
        <w:keepNext w:val="0"/>
        <w:spacing w:after="0"/>
      </w:pPr>
      <w:r>
        <w:rPr>
          <w:color w:val="48675F"/>
          <w:sz w:val="13"/>
        </w:rPr>
        <w:t>Official links: https://www.consumerfinance.gov/rules-policy/regulations/1024/17/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893" w:bottom="792" w:left="893" w:header="317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48675F"/>
        <w:sz w:val="15"/>
      </w:rPr>
      <w:t>EscrowGuide  |  Educational worksheet - not legal, tax, lending, or insurance advice  |  escrowguide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174F43"/>
        <w:sz w:val="16"/>
      </w:rPr>
      <w:t>ESCROWGUIDE  /  FREE HOMEOWNER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15332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533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C57B46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200"/>
      <w:contextualSpacing/>
    </w:pPr>
    <w:rPr>
      <w:rFonts w:asciiTheme="majorHAnsi" w:eastAsiaTheme="majorEastAsia" w:hAnsiTheme="majorHAnsi" w:cstheme="majorBidi" w:ascii="Aptos Display" w:hAnsi="Aptos Display"/>
      <w:b/>
      <w:color w:val="15332D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illLine">
    <w:name w:val="FillLine"/>
    <w:pPr>
      <w:spacing w:after="160"/>
      <w:pBdr>
        <w:bottom w:val="single" w:sz="4" w:space="2" w:color="B9C9C3"/>
      </w:pBdr>
    </w:pPr>
    <w:rPr>
      <w:rFonts w:ascii="Aptos" w:hAnsi="Aptos"/>
      <w:sz w:val="21"/>
    </w:rPr>
  </w:style>
  <w:style w:type="paragraph" w:customStyle="1" w:styleId="Checklist">
    <w:name w:val="Checklist"/>
    <w:pPr>
      <w:spacing w:after="80"/>
      <w:ind w:left="72"/>
    </w:pPr>
    <w:rPr>
      <w:rFonts w:ascii="Aptos" w:hAnsi="Aptos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