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232"/>
      </w:tblGrid>
      <w:tr>
        <w:tc>
          <w:tcPr>
            <w:tcW w:type="dxa" w:w="5227"/>
            <w:shd w:fill="F6F1E7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color w:val="C57B46"/>
                <w:sz w:val="17"/>
              </w:rPr>
              <w:t>REFUND WORKSHEET</w:t>
            </w:r>
          </w:p>
          <w:p>
            <w:pPr>
              <w:spacing w:after="0"/>
            </w:pPr>
            <w:r>
              <w:rPr>
                <w:rFonts w:ascii="Aptos Display" w:hAnsi="Aptos Display"/>
                <w:b/>
                <w:color w:val="15332D"/>
                <w:sz w:val="46"/>
              </w:rPr>
              <w:t>Annual Escrow Surplus Refund Eligibility &amp; Deadline Worksheet</w:t>
            </w:r>
          </w:p>
        </w:tc>
        <w:tc>
          <w:tcPr>
            <w:tcW w:type="dxa" w:w="5227"/>
            <w:shd w:fill="174F43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56"/>
              </w:rPr>
              <w:t>12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DCEAE6"/>
                <w:sz w:val="15"/>
              </w:rPr>
              <w:t>CHECK ELIGIBILITY</w:t>
            </w:r>
          </w:p>
        </w:tc>
      </w:tr>
    </w:tbl>
    <w:p>
      <w:pPr>
        <w:spacing w:before="160" w:after="120"/>
      </w:pPr>
      <w:r>
        <w:rPr>
          <w:color w:val="48675F"/>
          <w:sz w:val="21"/>
        </w:rPr>
        <w:t>Use this only for a surplus created by an initial or annual escrow analysis. It separates the $50 threshold, current-status test, analysis date, and refund/credit treatment from the different rules that apply after mortgage payoff.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4968"/>
      </w:tblGrid>
      <w:tr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Use this only for a surplus created by an initial or annual escrow analysis. It separates the $50 threshold, current-status test, analysis date, and refund/credit treatment from the different rules that apply after mortgage payoff.</w:t>
            </w:r>
          </w:p>
        </w:tc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FEDERAL / PRIMARY REFERENCE</w:t>
            </w:r>
          </w:p>
          <w:p>
            <w:pPr>
              <w:spacing w:after="0"/>
            </w:pPr>
            <w:r>
              <w:rPr>
                <w:sz w:val="18"/>
              </w:rPr>
              <w:t>12 CFR § 1024.17(f)(2)</w:t>
            </w:r>
          </w:p>
        </w:tc>
      </w:tr>
    </w:tbl>
    <w:p>
      <w:pPr>
        <w:pStyle w:val="Heading1"/>
      </w:pPr>
      <w:r>
        <w:t>Federal baseline to check</w:t>
      </w:r>
    </w:p>
    <w:p>
      <w:pPr>
        <w:pStyle w:val="Checklist"/>
      </w:pPr>
      <w:r>
        <w:rPr>
          <w:b/>
        </w:rPr>
        <w:t xml:space="preserve">☐ </w:t>
      </w:r>
      <w:r>
        <w:t>If an escrow analysis shows a surplus of at least $50 and the borrower is current at the analysis, the servicer must refund it within 30 days of the analysis.</w:t>
      </w:r>
    </w:p>
    <w:p>
      <w:pPr>
        <w:pStyle w:val="Checklist"/>
      </w:pPr>
      <w:r>
        <w:rPr>
          <w:b/>
        </w:rPr>
        <w:t xml:space="preserve">☐ </w:t>
      </w:r>
      <w:r>
        <w:t>If the surplus is under $50, the servicer may refund it or credit it against the next year's escrow payments.</w:t>
      </w:r>
    </w:p>
    <w:p>
      <w:pPr>
        <w:pStyle w:val="Checklist"/>
      </w:pPr>
      <w:r>
        <w:rPr>
          <w:b/>
        </w:rPr>
        <w:t xml:space="preserve">☐ </w:t>
      </w:r>
      <w:r>
        <w:t>If the borrower is not current under the rule's 30-day test, the servicer may retain the surplus under the mortgage documents. Payoff balances use a separate 20-business-day rule.</w:t>
      </w:r>
    </w:p>
    <w:p>
      <w:pPr>
        <w:spacing w:before="160" w:after="80"/>
      </w:pPr>
      <w:r>
        <w:rPr>
          <w:rFonts w:ascii="Aptos" w:hAnsi="Aptos"/>
          <w:b/>
          <w:color w:val="C57B46"/>
          <w:sz w:val="17"/>
        </w:rPr>
        <w:t>BORROWER AND LOAN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Borrower name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Property address</w:t>
              <w:br/>
            </w:r>
            <w:r>
              <w:rPr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Loan/account number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Servicer name</w:t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>
      <w:pPr>
        <w:pStyle w:val="Heading2"/>
      </w:pPr>
      <w:r>
        <w:t>Analysis and status</w:t>
      </w:r>
    </w:p>
    <w:p>
      <w:pPr>
        <w:pStyle w:val="FillLine"/>
      </w:pPr>
      <w:r>
        <w:rPr>
          <w:color w:val="15332D"/>
          <w:sz w:val="21"/>
        </w:rPr>
        <w:t>Escrow analysis date: __________   Borrower current at analysis? Yes / No / Unsure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Surplus threshold</w:t>
      </w:r>
    </w:p>
    <w:p>
      <w:pPr>
        <w:pStyle w:val="FillLine"/>
      </w:pPr>
      <w:r>
        <w:rPr>
          <w:color w:val="15332D"/>
          <w:sz w:val="21"/>
        </w:rPr>
        <w:t>Surplus shown: $__________   Is it at least $50? Yes / No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30-day refund check</w:t>
      </w:r>
    </w:p>
    <w:p>
      <w:pPr>
        <w:pStyle w:val="FillLine"/>
      </w:pPr>
      <w:r>
        <w:rPr>
          <w:color w:val="15332D"/>
          <w:sz w:val="21"/>
        </w:rPr>
        <w:t>30-calendar-day checkpoint from analysis: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If surplus is under $50</w:t>
      </w:r>
    </w:p>
    <w:p>
      <w:pPr>
        <w:pStyle w:val="FillLine"/>
      </w:pPr>
      <w:r>
        <w:rPr>
          <w:color w:val="15332D"/>
          <w:sz w:val="21"/>
        </w:rPr>
        <w:t>Refund received or next-year credit shown: $__________ / 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What to verify next</w:t>
      </w:r>
    </w:p>
    <w:p>
      <w:pPr>
        <w:pStyle w:val="FillLine"/>
      </w:pPr>
      <w:r>
        <w:rPr>
          <w:color w:val="15332D"/>
          <w:sz w:val="21"/>
        </w:rPr>
        <w:t>Unresolved item / follow-up date: __________________________________________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1"/>
      </w:pPr>
      <w:r>
        <w:t>Attachment checklist</w:t>
      </w:r>
    </w:p>
    <w:p>
      <w:pPr>
        <w:pStyle w:val="Checklist"/>
      </w:pPr>
      <w:r>
        <w:rPr>
          <w:b/>
        </w:rPr>
        <w:t xml:space="preserve">☐ </w:t>
      </w:r>
      <w:r>
        <w:t>Initial or annual escrow analysis showing the surplus</w:t>
      </w:r>
    </w:p>
    <w:p>
      <w:pPr>
        <w:pStyle w:val="Checklist"/>
      </w:pPr>
      <w:r>
        <w:rPr>
          <w:b/>
        </w:rPr>
        <w:t xml:space="preserve">☐ </w:t>
      </w:r>
      <w:r>
        <w:t>Mortgage statement/payment history showing status at analysis</w:t>
      </w:r>
    </w:p>
    <w:p>
      <w:pPr>
        <w:pStyle w:val="Checklist"/>
      </w:pPr>
      <w:r>
        <w:rPr>
          <w:b/>
        </w:rPr>
        <w:t xml:space="preserve">☐ </w:t>
      </w:r>
      <w:r>
        <w:t>Refund check/ACH notice or next-year escrow credit, if any</w:t>
      </w:r>
    </w:p>
    <w:p>
      <w:pPr>
        <w:pStyle w:val="Checklist"/>
      </w:pPr>
      <w:r>
        <w:rPr>
          <w:b/>
        </w:rPr>
        <w:t xml:space="preserve">☐ </w:t>
      </w:r>
      <w:r>
        <w:t>Copy of this completed template retained for your records</w:t>
      </w:r>
    </w:p>
    <w:p>
      <w:pPr>
        <w:pStyle w:val="Checklist"/>
      </w:pPr>
      <w:r>
        <w:rPr>
          <w:b/>
        </w:rPr>
        <w:t xml:space="preserve">☐ </w:t>
      </w:r>
      <w:r>
        <w:t>Mailing / delivery confirmation retained if sent formally</w:t>
      </w:r>
    </w:p>
    <w:p>
      <w:pPr>
        <w:pStyle w:val="Heading1"/>
      </w:pPr>
      <w:r>
        <w:t>Use notes</w:t>
      </w:r>
    </w:p>
    <w:p>
      <w:pPr>
        <w:pStyle w:val="Checklist"/>
      </w:pPr>
      <w:r>
        <w:rPr>
          <w:b/>
        </w:rPr>
        <w:t xml:space="preserve">☐ </w:t>
      </w:r>
      <w:r>
        <w:t>Use the analysis date as the starting point; do not substitute the statement delivery date unless they are the same.</w:t>
      </w:r>
    </w:p>
    <w:p>
      <w:pPr>
        <w:pStyle w:val="Checklist"/>
      </w:pPr>
      <w:r>
        <w:rPr>
          <w:b/>
        </w:rPr>
        <w:t xml:space="preserve">☐ </w:t>
      </w:r>
      <w:r>
        <w:t>Confirm whether the borrower was 'current' under the regulation at analysis: payments received within 30 days of their due dates.</w:t>
      </w:r>
    </w:p>
    <w:p>
      <w:pPr>
        <w:pStyle w:val="Checklist"/>
      </w:pPr>
      <w:r>
        <w:rPr>
          <w:b/>
        </w:rPr>
        <w:t xml:space="preserve">☐ </w:t>
      </w:r>
      <w:r>
        <w:t>For a mortgage paid in full, use the Post-Payoff Escrow Refund Reconciliation Sheet instead of this worksheet.</w:t>
      </w:r>
    </w:p>
    <w:p>
      <w:pPr>
        <w:pStyle w:val="Checklist"/>
      </w:pPr>
      <w:r>
        <w:rPr>
          <w:b/>
        </w:rPr>
        <w:t xml:space="preserve">☐ </w:t>
      </w:r>
      <w:r>
        <w:t>Keep a complete copy of the completed template and supporting records; send copies rather than irreplaceable originals when copies are sufficient.</w:t>
      </w:r>
    </w:p>
    <w:p>
      <w:pPr>
        <w:spacing w:before="180"/>
      </w:pPr>
      <w:r>
        <w:rPr>
          <w:b/>
          <w:color w:val="C57B46"/>
          <w:sz w:val="16"/>
        </w:rPr>
        <w:t>PRIMARY SOURCES TO CHECK</w:t>
      </w:r>
    </w:p>
    <w:p>
      <w:r>
        <w:rPr>
          <w:color w:val="48675F"/>
          <w:sz w:val="17"/>
        </w:rPr>
        <w:t>12 CFR § 1024.17(f)(2)</w:t>
      </w:r>
    </w:p>
    <w:p>
      <w:pPr>
        <w:keepNext w:val="0"/>
        <w:spacing w:after="0"/>
      </w:pPr>
      <w:r>
        <w:rPr>
          <w:color w:val="48675F"/>
          <w:sz w:val="13"/>
        </w:rPr>
        <w:t>Official links: https://www.consumerfinance.gov/rules-policy/regulations/1024/17/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8675F"/>
        <w:sz w:val="15"/>
      </w:rPr>
      <w:t>EscrowGuide  |  Educational worksheet - not legal, tax, lending, or insurance advice  |  escrowguide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74F43"/>
        <w:sz w:val="16"/>
      </w:rPr>
      <w:t>ESCROWGUIDE  /  FREE HOMEOWNER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5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57B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5332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llLine">
    <w:name w:val="FillLine"/>
    <w:pPr>
      <w:spacing w:after="160"/>
      <w:pBdr>
        <w:bottom w:val="single" w:sz="4" w:space="2" w:color="B9C9C3"/>
      </w:pBdr>
    </w:pPr>
    <w:rPr>
      <w:rFonts w:ascii="Aptos" w:hAnsi="Aptos"/>
      <w:sz w:val="21"/>
    </w:rPr>
  </w:style>
  <w:style w:type="paragraph" w:customStyle="1" w:styleId="Checklist">
    <w:name w:val="Checklist"/>
    <w:pPr>
      <w:spacing w:after="80"/>
      <w:ind w:left="72"/>
    </w:pPr>
    <w:rPr>
      <w:rFonts w:ascii="Aptos" w:hAnsi="Apto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