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INSURANCE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Flood Insurance Escrow Review Worksheet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16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TRACE PREMIUM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Trace a flood-insurance premium change through the mortgage payment without assuming the escrow statement decides whether flood coverage is legally required.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Trace a flood-insurance premium change through the mortgage payment without assuming the escrow statement decides whether flood coverage is legally required.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 · Policy/program-specific flood rules may also apply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This worksheet audits escrow math only; it does not determine whether federal flood-insurance law or the loan contract requires coverage.</w:t>
      </w:r>
    </w:p>
    <w:p>
      <w:pPr>
        <w:pStyle w:val="Checklist"/>
      </w:pPr>
      <w:r>
        <w:rPr>
          <w:b/>
        </w:rPr>
        <w:t xml:space="preserve">☐ </w:t>
      </w:r>
      <w:r>
        <w:t>If a flood-insurance premium is an escrow item and the next charge is known, Regulation X requires the servicer to use that known amount in its escrow estimate.</w:t>
      </w:r>
    </w:p>
    <w:p>
      <w:pPr>
        <w:pStyle w:val="Checklist"/>
      </w:pPr>
      <w:r>
        <w:rPr>
          <w:b/>
        </w:rPr>
        <w:t xml:space="preserve">☐ </w:t>
      </w:r>
      <w:r>
        <w:t>For escrow items billed on a cycle longer than one year, Regulation X provides a multi-year collection method rather than forcing the amount into a single annual cycle.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Policy record</w:t>
      </w:r>
    </w:p>
    <w:p>
      <w:pPr>
        <w:pStyle w:val="FillLine"/>
      </w:pPr>
      <w:r>
        <w:rPr>
          <w:color w:val="15332D"/>
          <w:sz w:val="21"/>
        </w:rPr>
        <w:t>Carrier / policy #: ____________________   Policy term: __________ to __________   Premium: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Servicer projection</w:t>
      </w:r>
    </w:p>
    <w:p>
      <w:pPr>
        <w:pStyle w:val="FillLine"/>
      </w:pPr>
      <w:r>
        <w:rPr>
          <w:color w:val="15332D"/>
          <w:sz w:val="21"/>
        </w:rPr>
        <w:t>Servicer projected flood premium: $__________   Analysis date: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Payment impact</w:t>
      </w:r>
    </w:p>
    <w:p>
      <w:pPr>
        <w:pStyle w:val="FillLine"/>
      </w:pPr>
      <w:r>
        <w:rPr>
          <w:color w:val="15332D"/>
          <w:sz w:val="21"/>
        </w:rPr>
        <w:t>Escrow portion / total payment before: $__________ / $__________   after: $__________ /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Unresolved coverage questions</w:t>
      </w:r>
    </w:p>
    <w:p>
      <w:pPr>
        <w:pStyle w:val="FillLine"/>
      </w:pPr>
      <w:r>
        <w:rPr>
          <w:color w:val="15332D"/>
          <w:sz w:val="21"/>
        </w:rPr>
        <w:t>Coverage-requirement question to confirm separately: 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Flood policy declarations</w:t>
      </w:r>
    </w:p>
    <w:p>
      <w:pPr>
        <w:pStyle w:val="Checklist"/>
      </w:pPr>
      <w:r>
        <w:rPr>
          <w:b/>
        </w:rPr>
        <w:t xml:space="preserve">☐ </w:t>
      </w:r>
      <w:r>
        <w:t>Renewal invoice</w:t>
      </w:r>
    </w:p>
    <w:p>
      <w:pPr>
        <w:pStyle w:val="Checklist"/>
      </w:pPr>
      <w:r>
        <w:rPr>
          <w:b/>
        </w:rPr>
        <w:t xml:space="preserve">☐ </w:t>
      </w:r>
      <w:r>
        <w:t>Escrow analysis</w:t>
      </w:r>
    </w:p>
    <w:p>
      <w:pPr>
        <w:pStyle w:val="Checklist"/>
      </w:pPr>
      <w:r>
        <w:rPr>
          <w:b/>
        </w:rPr>
        <w:t xml:space="preserve">☐ </w:t>
      </w:r>
      <w:r>
        <w:t>Mortgage statement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Confirm whether the premium change came from the carrier, a coverage-limit change, a flood-zone determination, or a servicer estimate before attributing the payment change to escrow error.</w:t>
      </w:r>
    </w:p>
    <w:p>
      <w:pPr>
        <w:pStyle w:val="Checklist"/>
      </w:pPr>
      <w:r>
        <w:rPr>
          <w:b/>
        </w:rPr>
        <w:t xml:space="preserve">☐ </w:t>
      </w:r>
      <w:r>
        <w:t>Record policy term and payment frequency exactly; annual, multi-year, and installment premiums behave differently in the escrow trial balance.</w:t>
      </w:r>
    </w:p>
    <w:p>
      <w:pPr>
        <w:pStyle w:val="Checklist"/>
      </w:pPr>
      <w:r>
        <w:rPr>
          <w:b/>
        </w:rPr>
        <w:t xml:space="preserve">☐ </w:t>
      </w:r>
      <w:r>
        <w:t>Questions about whether flood insurance is legally required should be handled separately with the servicer, insurer, and applicable flood-program guidance.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 • Policy/program-specific flood rules may also apply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