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20"/>
        <w:gridCol w:w="2232"/>
      </w:tblGrid>
      <w:tr>
        <w:tc>
          <w:tcPr>
            <w:tcW w:type="dxa" w:w="5227"/>
            <w:shd w:fill="F6F1E7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spacing w:after="0"/>
            </w:pPr>
            <w:r>
              <w:rPr>
                <w:rFonts w:ascii="Aptos" w:hAnsi="Aptos"/>
                <w:b/>
                <w:color w:val="C57B46"/>
                <w:sz w:val="17"/>
              </w:rPr>
              <w:t>INSURANCE TIMELINE</w:t>
            </w:r>
          </w:p>
          <w:p>
            <w:pPr>
              <w:spacing w:after="0"/>
            </w:pPr>
            <w:r>
              <w:rPr>
                <w:rFonts w:ascii="Aptos Display" w:hAnsi="Aptos Display"/>
                <w:b/>
                <w:color w:val="15332D"/>
                <w:sz w:val="46"/>
              </w:rPr>
              <w:t>Force-Placed Insurance Overlap Timeline</w:t>
            </w:r>
          </w:p>
        </w:tc>
        <w:tc>
          <w:tcPr>
            <w:tcW w:type="dxa" w:w="5227"/>
            <w:shd w:fill="174F43"/>
            <w:tcBorders>
              <w:top w:val="single" w:sz="0" w:color="F6F1E7"/>
              <w:left w:val="single" w:sz="0" w:color="F6F1E7"/>
              <w:bottom w:val="single" w:sz="0" w:color="F6F1E7"/>
              <w:right w:val="single" w:sz="0" w:color="F6F1E7"/>
              <w:insideH w:val="single" w:sz="0" w:color="F6F1E7"/>
              <w:insideV w:val="single" w:sz="0" w:color="F6F1E7"/>
            </w:tcBorders>
            <w:vAlign w:val="center"/>
          </w:tcPr>
          <w:p>
            <w:pPr>
              <w:jc w:val="center"/>
            </w:pPr>
            <w:r>
              <w:rPr>
                <w:rFonts w:ascii="Aptos Display" w:hAnsi="Aptos Display"/>
                <w:b/>
                <w:color w:val="FFFFFF"/>
                <w:sz w:val="56"/>
              </w:rPr>
              <w:t>34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DCEAE6"/>
                <w:sz w:val="15"/>
              </w:rPr>
              <w:t>MAP OVERLAP</w:t>
            </w:r>
          </w:p>
        </w:tc>
      </w:tr>
    </w:tbl>
    <w:p>
      <w:pPr>
        <w:spacing w:before="160" w:after="120"/>
      </w:pPr>
      <w:r>
        <w:rPr>
          <w:color w:val="48675F"/>
          <w:sz w:val="21"/>
        </w:rPr>
        <w:t>Map the borrower policy, force-placed policy, proof-of-coverage delivery, cancellation date, and refund/credit so an overlap-period charge can be checked day by day.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184"/>
        <w:gridCol w:w="4968"/>
      </w:tblGrid>
      <w:tr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WHEN TO USE</w:t>
            </w:r>
          </w:p>
          <w:p>
            <w:pPr>
              <w:spacing w:after="0"/>
            </w:pPr>
            <w:r>
              <w:rPr>
                <w:sz w:val="18"/>
              </w:rPr>
              <w:t>Map the borrower policy, force-placed policy, proof-of-coverage delivery, cancellation date, and refund/credit so an overlap-period charge can be checked day by day.</w:t>
            </w:r>
          </w:p>
        </w:tc>
        <w:tc>
          <w:tcPr>
            <w:tcW w:type="dxa" w:w="5227"/>
            <w:shd w:fill="FFFDF9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</w:tcPr>
          <w:p>
            <w:r>
              <w:rPr>
                <w:b/>
                <w:color w:val="C57B46"/>
                <w:sz w:val="16"/>
              </w:rPr>
              <w:t>FEDERAL / PRIMARY REFERENCE</w:t>
            </w:r>
          </w:p>
          <w:p>
            <w:pPr>
              <w:spacing w:after="0"/>
            </w:pPr>
            <w:r>
              <w:rPr>
                <w:sz w:val="18"/>
              </w:rPr>
              <w:t>12 CFR § 1024.37(g) · 12 CFR § 1024.17(k)</w:t>
            </w:r>
          </w:p>
        </w:tc>
      </w:tr>
    </w:tbl>
    <w:p>
      <w:pPr>
        <w:pStyle w:val="Heading1"/>
      </w:pPr>
      <w:r>
        <w:t>Federal baseline to check</w:t>
      </w:r>
    </w:p>
    <w:p>
      <w:pPr>
        <w:pStyle w:val="Checklist"/>
      </w:pPr>
      <w:r>
        <w:rPr>
          <w:b/>
        </w:rPr>
        <w:t xml:space="preserve">☐ </w:t>
      </w:r>
      <w:r>
        <w:t>Once the servicer receives evidence of hazard coverage that meets the loan contract, it generally has 15 days to cancel force-placed insurance.</w:t>
      </w:r>
    </w:p>
    <w:p>
      <w:pPr>
        <w:pStyle w:val="Checklist"/>
      </w:pPr>
      <w:r>
        <w:rPr>
          <w:b/>
        </w:rPr>
        <w:t xml:space="preserve">☐ </w:t>
      </w:r>
      <w:r>
        <w:t>All force-placed premium charges and related fees for periods of actual overlap with qualifying borrower coverage must be refunded if paid and removed if merely assessed.</w:t>
      </w:r>
    </w:p>
    <w:p>
      <w:pPr>
        <w:pStyle w:val="Checklist"/>
      </w:pPr>
      <w:r>
        <w:rPr>
          <w:b/>
        </w:rPr>
        <w:t xml:space="preserve">☐ </w:t>
      </w:r>
      <w:r>
        <w:t>The relevant overlap is the date range when both policies were in effect, not simply the date the borrower sent proof.</w:t>
      </w:r>
    </w:p>
    <w:p>
      <w:pPr>
        <w:spacing w:before="160" w:after="80"/>
      </w:pPr>
      <w:r>
        <w:rPr>
          <w:rFonts w:ascii="Aptos" w:hAnsi="Aptos"/>
          <w:b/>
          <w:color w:val="C57B46"/>
          <w:sz w:val="17"/>
        </w:rPr>
        <w:t>BORROWER AND LOAN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227"/>
        <w:gridCol w:w="5227"/>
      </w:tblGrid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Borrower name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Property address</w:t>
              <w:br/>
            </w:r>
            <w:r>
              <w:rPr>
                <w:sz w:val="20"/>
              </w:rPr>
              <w:t>________________________________</w:t>
            </w:r>
          </w:p>
        </w:tc>
      </w:tr>
      <w:tr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Loan/account number</w:t>
              <w:br/>
            </w:r>
            <w:r>
              <w:rPr>
                <w:sz w:val="20"/>
              </w:rPr>
              <w:t>________________________________</w:t>
            </w:r>
          </w:p>
        </w:tc>
        <w:tc>
          <w:tcPr>
            <w:tcW w:type="dxa" w:w="5227"/>
            <w:tcBorders>
              <w:top w:val="single" w:sz="6" w:color="D9DED8"/>
              <w:left w:val="single" w:sz="6" w:color="D9DED8"/>
              <w:bottom w:val="single" w:sz="6" w:color="D9DED8"/>
              <w:right w:val="single" w:sz="6" w:color="D9DED8"/>
              <w:insideH w:val="single" w:sz="6" w:color="D9DED8"/>
              <w:insideV w:val="single" w:sz="6" w:color="D9DED8"/>
            </w:tcBorders>
            <w:shd w:fill="FFFFFF"/>
          </w:tcPr>
          <w:p>
            <w:r>
              <w:rPr>
                <w:b/>
                <w:color w:val="48675F"/>
                <w:sz w:val="16"/>
              </w:rPr>
              <w:t>Servicer name</w:t>
              <w:br/>
            </w:r>
            <w:r>
              <w:rPr>
                <w:sz w:val="20"/>
              </w:rPr>
              <w:t>________________________________</w:t>
            </w:r>
          </w:p>
        </w:tc>
      </w:tr>
    </w:tbl>
    <w:p>
      <w:pPr>
        <w:pStyle w:val="Heading2"/>
      </w:pPr>
      <w:r>
        <w:t>Borrower coverage</w:t>
      </w:r>
    </w:p>
    <w:p>
      <w:pPr>
        <w:pStyle w:val="FillLine"/>
      </w:pPr>
      <w:r>
        <w:rPr>
          <w:color w:val="15332D"/>
          <w:sz w:val="21"/>
        </w:rPr>
        <w:t>Borrower policy effective: __________ to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Force-placed coverage</w:t>
      </w:r>
    </w:p>
    <w:p>
      <w:pPr>
        <w:pStyle w:val="FillLine"/>
      </w:pPr>
      <w:r>
        <w:rPr>
          <w:color w:val="15332D"/>
          <w:sz w:val="21"/>
        </w:rPr>
        <w:t>Force-placed period billed: __________ to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Evidence delivered</w:t>
      </w:r>
    </w:p>
    <w:p>
      <w:pPr>
        <w:pStyle w:val="FillLine"/>
      </w:pPr>
      <w:r>
        <w:rPr>
          <w:color w:val="15332D"/>
          <w:sz w:val="21"/>
        </w:rPr>
        <w:t>Qualifying coverage evidence received by servicer: __________   15-day checkpoint: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Overlap period</w:t>
      </w:r>
    </w:p>
    <w:p>
      <w:pPr>
        <w:pStyle w:val="FillLine"/>
      </w:pPr>
      <w:r>
        <w:rPr>
          <w:color w:val="15332D"/>
          <w:sz w:val="21"/>
        </w:rPr>
        <w:t>Actual overlap: __________ to __________   Number of days / billing periods: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2"/>
      </w:pPr>
      <w:r>
        <w:t>Refund / credit</w:t>
      </w:r>
    </w:p>
    <w:p>
      <w:pPr>
        <w:pStyle w:val="FillLine"/>
      </w:pPr>
      <w:r>
        <w:rPr>
          <w:color w:val="15332D"/>
          <w:sz w:val="21"/>
        </w:rPr>
        <w:t>Paid overlap to refund: $__________   Assessed overlap to remove: $__________   Completed: __________</w:t>
      </w:r>
    </w:p>
    <w:p>
      <w:pPr>
        <w:pStyle w:val="FillLine"/>
      </w:pPr>
      <w:r>
        <w:rPr>
          <w:color w:val="15332D"/>
          <w:sz w:val="21"/>
        </w:rPr>
        <w:t>Notes: ______________________________________________________________________________</w:t>
      </w:r>
    </w:p>
    <w:p>
      <w:pPr>
        <w:pStyle w:val="Heading1"/>
      </w:pPr>
      <w:r>
        <w:t>Attachment checklist</w:t>
      </w:r>
    </w:p>
    <w:p>
      <w:pPr>
        <w:pStyle w:val="Checklist"/>
      </w:pPr>
      <w:r>
        <w:rPr>
          <w:b/>
        </w:rPr>
        <w:t xml:space="preserve">☐ </w:t>
      </w:r>
      <w:r>
        <w:t>Borrower policy declarations</w:t>
      </w:r>
    </w:p>
    <w:p>
      <w:pPr>
        <w:pStyle w:val="Checklist"/>
      </w:pPr>
      <w:r>
        <w:rPr>
          <w:b/>
        </w:rPr>
        <w:t xml:space="preserve">☐ </w:t>
      </w:r>
      <w:r>
        <w:t>Force-placed insurance notices</w:t>
      </w:r>
    </w:p>
    <w:p>
      <w:pPr>
        <w:pStyle w:val="Checklist"/>
      </w:pPr>
      <w:r>
        <w:rPr>
          <w:b/>
        </w:rPr>
        <w:t xml:space="preserve">☐ </w:t>
      </w:r>
      <w:r>
        <w:t>Proof-of-coverage delivery confirmation</w:t>
      </w:r>
    </w:p>
    <w:p>
      <w:pPr>
        <w:pStyle w:val="Checklist"/>
      </w:pPr>
      <w:r>
        <w:rPr>
          <w:b/>
        </w:rPr>
        <w:t xml:space="preserve">☐ </w:t>
      </w:r>
      <w:r>
        <w:t>Mortgage statements showing charges and credits</w:t>
      </w:r>
    </w:p>
    <w:p>
      <w:pPr>
        <w:pStyle w:val="Checklist"/>
      </w:pPr>
      <w:r>
        <w:rPr>
          <w:b/>
        </w:rPr>
        <w:t xml:space="preserve">☐ </w:t>
      </w:r>
      <w:r>
        <w:t>Copy of this completed template retained for your records</w:t>
      </w:r>
    </w:p>
    <w:p>
      <w:pPr>
        <w:pStyle w:val="Checklist"/>
      </w:pPr>
      <w:r>
        <w:rPr>
          <w:b/>
        </w:rPr>
        <w:t xml:space="preserve">☐ </w:t>
      </w:r>
      <w:r>
        <w:t>Mailing / delivery confirmation retained if sent formally</w:t>
      </w:r>
    </w:p>
    <w:p>
      <w:pPr>
        <w:pStyle w:val="Heading1"/>
      </w:pPr>
      <w:r>
        <w:t>Use notes</w:t>
      </w:r>
    </w:p>
    <w:p>
      <w:pPr>
        <w:pStyle w:val="Checklist"/>
      </w:pPr>
      <w:r>
        <w:rPr>
          <w:b/>
        </w:rPr>
        <w:t xml:space="preserve">☐ </w:t>
      </w:r>
      <w:r>
        <w:t>Use insurer declarations/coverage evidence for coverage dates and the servicer's notice/ledger for force-placed dates; do not infer either period from a monthly statement alone.</w:t>
      </w:r>
    </w:p>
    <w:p>
      <w:pPr>
        <w:pStyle w:val="Checklist"/>
      </w:pPr>
      <w:r>
        <w:rPr>
          <w:b/>
        </w:rPr>
        <w:t xml:space="preserve">☐ </w:t>
      </w:r>
      <w:r>
        <w:t>Separate paid charges from unpaid assessed charges because Regulation X requires refunding the former and removing the latter for overlap periods.</w:t>
      </w:r>
    </w:p>
    <w:p>
      <w:pPr>
        <w:pStyle w:val="Checklist"/>
      </w:pPr>
      <w:r>
        <w:rPr>
          <w:b/>
        </w:rPr>
        <w:t xml:space="preserve">☐ </w:t>
      </w:r>
      <w:r>
        <w:t>If the servicer disputes that the borrower policy met contract requirements, request the specific coverage deficiency in writing before calculating a regulatory overlap refund.</w:t>
      </w:r>
    </w:p>
    <w:p>
      <w:pPr>
        <w:pStyle w:val="Checklist"/>
      </w:pPr>
      <w:r>
        <w:rPr>
          <w:b/>
        </w:rPr>
        <w:t xml:space="preserve">☐ </w:t>
      </w:r>
      <w:r>
        <w:t>Keep a complete copy of the completed template and supporting records; send copies rather than irreplaceable originals when copies are sufficient.</w:t>
      </w:r>
    </w:p>
    <w:p>
      <w:pPr>
        <w:spacing w:before="180"/>
      </w:pPr>
      <w:r>
        <w:rPr>
          <w:b/>
          <w:color w:val="C57B46"/>
          <w:sz w:val="16"/>
        </w:rPr>
        <w:t>PRIMARY SOURCES TO CHECK</w:t>
      </w:r>
    </w:p>
    <w:p>
      <w:r>
        <w:rPr>
          <w:color w:val="48675F"/>
          <w:sz w:val="17"/>
        </w:rPr>
        <w:t>12 CFR § 1024.37(g) • 12 CFR § 1024.17(k)</w:t>
      </w:r>
    </w:p>
    <w:p>
      <w:pPr>
        <w:keepNext w:val="0"/>
        <w:spacing w:after="0"/>
      </w:pPr>
      <w:r>
        <w:rPr>
          <w:color w:val="48675F"/>
          <w:sz w:val="13"/>
        </w:rPr>
        <w:t>Official links: https://www.consumerfinance.gov/rules-policy/regulations/1024/37/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792" w:right="893" w:bottom="792" w:left="893" w:header="317" w:footer="36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48675F"/>
        <w:sz w:val="15"/>
      </w:rPr>
      <w:t>EscrowGuide  |  Educational worksheet - not legal, tax, lending, or insurance advice  |  escrowguide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74F43"/>
        <w:sz w:val="16"/>
      </w:rPr>
      <w:t>ESCROWGUIDE  /  FREE HOMEOWNER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1533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5332D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57B46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Aptos Display" w:hAnsi="Aptos Display"/>
      <w:b/>
      <w:color w:val="15332D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llLine">
    <w:name w:val="FillLine"/>
    <w:pPr>
      <w:spacing w:after="160"/>
      <w:pBdr>
        <w:bottom w:val="single" w:sz="4" w:space="2" w:color="B9C9C3"/>
      </w:pBdr>
    </w:pPr>
    <w:rPr>
      <w:rFonts w:ascii="Aptos" w:hAnsi="Aptos"/>
      <w:sz w:val="21"/>
    </w:rPr>
  </w:style>
  <w:style w:type="paragraph" w:customStyle="1" w:styleId="Checklist">
    <w:name w:val="Checklist"/>
    <w:pPr>
      <w:spacing w:after="80"/>
      <w:ind w:left="72"/>
    </w:pPr>
    <w:rPr>
      <w:rFonts w:ascii="Aptos" w:hAnsi="Aptos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