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CHECKLIST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Homeowners Insurance Escrow Verification Checklist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06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VERIFY INSURANCE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Compare the insurer’s policy record with the servicer’s escrow projection and disbursement record.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Compare the insurer’s policy record with the servicer’s escrow projection and disbursement record.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1024.17(k) · 12 CFR § 1024.34(a)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Escrowed hazard-insurance premiums generally must be paid on time while the mortgage payment is not more than 30 days overdue.</w:t>
      </w:r>
    </w:p>
    <w:p>
      <w:pPr>
        <w:pStyle w:val="Checklist"/>
      </w:pPr>
      <w:r>
        <w:rPr>
          <w:b/>
        </w:rPr>
        <w:t xml:space="preserve">☐ </w:t>
      </w:r>
      <w:r>
        <w:t>Insufficient money in the escrow account alone does not make the servicer 'unable to disburse' a hazard-insurance premium; the rule contemplates advances in many cases.</w:t>
      </w:r>
    </w:p>
    <w:p>
      <w:pPr>
        <w:pStyle w:val="Checklist"/>
      </w:pPr>
      <w:r>
        <w:rPr>
          <w:b/>
        </w:rPr>
        <w:t xml:space="preserve">☐ </w:t>
      </w:r>
      <w:r>
        <w:t>A known premium for the next escrow year should be used in the servicer's estimate rather than an older amount.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Policy record</w:t>
      </w:r>
    </w:p>
    <w:p>
      <w:pPr>
        <w:pStyle w:val="FillLine"/>
      </w:pPr>
      <w:r>
        <w:rPr>
          <w:color w:val="15332D"/>
          <w:sz w:val="21"/>
        </w:rPr>
        <w:t>Carrier / policy #: ____________________   Policy term: __________ to __________   Premium: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Escrow projection</w:t>
      </w:r>
    </w:p>
    <w:p>
      <w:pPr>
        <w:pStyle w:val="FillLine"/>
      </w:pPr>
      <w:r>
        <w:rPr>
          <w:color w:val="15332D"/>
          <w:sz w:val="21"/>
        </w:rPr>
        <w:t>Servicer projected premium: $__________   Analysis date: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Premium disbursement</w:t>
      </w:r>
    </w:p>
    <w:p>
      <w:pPr>
        <w:pStyle w:val="FillLine"/>
      </w:pPr>
      <w:r>
        <w:rPr>
          <w:color w:val="15332D"/>
          <w:sz w:val="21"/>
        </w:rPr>
        <w:t>Servicer disbursement: $__________ on __________   Insurer posted: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Mismatch check</w:t>
      </w:r>
    </w:p>
    <w:p>
      <w:pPr>
        <w:pStyle w:val="FillLine"/>
      </w:pPr>
      <w:r>
        <w:rPr>
          <w:color w:val="15332D"/>
          <w:sz w:val="21"/>
        </w:rPr>
        <w:t>Difference, cancellation, or unresolved posting: 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Declarations page</w:t>
      </w:r>
    </w:p>
    <w:p>
      <w:pPr>
        <w:pStyle w:val="Checklist"/>
      </w:pPr>
      <w:r>
        <w:rPr>
          <w:b/>
        </w:rPr>
        <w:t xml:space="preserve">☐ </w:t>
      </w:r>
      <w:r>
        <w:t>Renewal invoice</w:t>
      </w:r>
    </w:p>
    <w:p>
      <w:pPr>
        <w:pStyle w:val="Checklist"/>
      </w:pPr>
      <w:r>
        <w:rPr>
          <w:b/>
        </w:rPr>
        <w:t xml:space="preserve">☐ </w:t>
      </w:r>
      <w:r>
        <w:t>Escrow statement</w:t>
      </w:r>
    </w:p>
    <w:p>
      <w:pPr>
        <w:pStyle w:val="Checklist"/>
      </w:pPr>
      <w:r>
        <w:rPr>
          <w:b/>
        </w:rPr>
        <w:t xml:space="preserve">☐ </w:t>
      </w:r>
      <w:r>
        <w:t>Servicer disbursement history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Match policy number, coverage dates, mortgagee clause, premium amount, and payment posting date across the insurer and servicer records.</w:t>
      </w:r>
    </w:p>
    <w:p>
      <w:pPr>
        <w:pStyle w:val="Checklist"/>
      </w:pPr>
      <w:r>
        <w:rPr>
          <w:b/>
        </w:rPr>
        <w:t xml:space="preserve">☐ </w:t>
      </w:r>
      <w:r>
        <w:t>If the policy was canceled for nonpayment despite escrow, save the cancellation notice and insurer ledger before the account is corrected; these records can disappear from portals later.</w:t>
      </w:r>
    </w:p>
    <w:p>
      <w:pPr>
        <w:pStyle w:val="Checklist"/>
      </w:pPr>
      <w:r>
        <w:rPr>
          <w:b/>
        </w:rPr>
        <w:t xml:space="preserve">☐ </w:t>
      </w:r>
      <w:r>
        <w:t>Do not use this worksheet to decide whether a particular insurance policy satisfies the loan contract; confirm coverage requirements with the servicer/insurer.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1024.17(k) • 12 CFR § 1024.34(a)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  |  https://www.consumerfinance.gov/rules-policy/regulations/1024/34/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