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STATEMENT CHECKLIST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Initial Escrow Statement After Closing Checklist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25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REVIEW SETUP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Review an initial escrow statement for an account created after closing and verify the creation date, first deposit, projected items, cushion, and trial balance.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Review an initial escrow statement for an account created after closing and verify the creation date, first deposit, projected items, cushion, and trial balance.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1024.17(g) · 12 CFR § 1024.17(c)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For an escrow account established as a condition of the loan, the initial escrow statement is due at settlement or within 45 calendar days after settlement.</w:t>
      </w:r>
    </w:p>
    <w:p>
      <w:pPr>
        <w:pStyle w:val="Checklist"/>
      </w:pPr>
      <w:r>
        <w:rPr>
          <w:b/>
        </w:rPr>
        <w:t xml:space="preserve">☐ </w:t>
      </w:r>
      <w:r>
        <w:t>For an escrow account established after settlement, the initial statement is due within 45 calendar days after the account is established.</w:t>
      </w:r>
    </w:p>
    <w:p>
      <w:pPr>
        <w:pStyle w:val="Checklist"/>
      </w:pPr>
      <w:r>
        <w:rPr>
          <w:b/>
        </w:rPr>
        <w:t xml:space="preserve">☐ </w:t>
      </w:r>
      <w:r>
        <w:t>The statement should identify monthly mortgage and escrow amounts, projected escrow items and disbursement dates, the selected cushion, and a trial running balance.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Escrow creation date</w:t>
      </w:r>
    </w:p>
    <w:p>
      <w:pPr>
        <w:pStyle w:val="FillLine"/>
      </w:pPr>
      <w:r>
        <w:rPr>
          <w:color w:val="15332D"/>
          <w:sz w:val="21"/>
        </w:rPr>
        <w:t>Escrow established: __________   At settlement / After settlement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Initial deposit</w:t>
      </w:r>
    </w:p>
    <w:p>
      <w:pPr>
        <w:pStyle w:val="FillLine"/>
      </w:pPr>
      <w:r>
        <w:rPr>
          <w:color w:val="15332D"/>
          <w:sz w:val="21"/>
        </w:rPr>
        <w:t>Initial deposit collected: $__________   First escrow payment due: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Projected disbursements</w:t>
      </w:r>
    </w:p>
    <w:p>
      <w:pPr>
        <w:pStyle w:val="FillLine"/>
      </w:pPr>
      <w:r>
        <w:rPr>
          <w:color w:val="15332D"/>
          <w:sz w:val="21"/>
        </w:rPr>
        <w:t>Projected taxes: $__________   Insurance: $__________   Other: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Cushion and low balance</w:t>
      </w:r>
    </w:p>
    <w:p>
      <w:pPr>
        <w:pStyle w:val="FillLine"/>
      </w:pPr>
      <w:r>
        <w:rPr>
          <w:color w:val="15332D"/>
          <w:sz w:val="21"/>
        </w:rPr>
        <w:t>Cushion selected: $__________   Projected lowest month-end balance: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45-day statement check</w:t>
      </w:r>
    </w:p>
    <w:p>
      <w:pPr>
        <w:pStyle w:val="FillLine"/>
      </w:pPr>
      <w:r>
        <w:rPr>
          <w:color w:val="15332D"/>
          <w:sz w:val="21"/>
        </w:rPr>
        <w:t>Initial-statement deadline: __________   Received: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Notice that escrow was established</w:t>
      </w:r>
    </w:p>
    <w:p>
      <w:pPr>
        <w:pStyle w:val="Checklist"/>
      </w:pPr>
      <w:r>
        <w:rPr>
          <w:b/>
        </w:rPr>
        <w:t xml:space="preserve">☐ </w:t>
      </w:r>
      <w:r>
        <w:t>Initial escrow account statement</w:t>
      </w:r>
    </w:p>
    <w:p>
      <w:pPr>
        <w:pStyle w:val="Checklist"/>
      </w:pPr>
      <w:r>
        <w:rPr>
          <w:b/>
        </w:rPr>
        <w:t xml:space="preserve">☐ </w:t>
      </w:r>
      <w:r>
        <w:t>Current tax and insurance bills</w:t>
      </w:r>
    </w:p>
    <w:p>
      <w:pPr>
        <w:pStyle w:val="Checklist"/>
      </w:pPr>
      <w:r>
        <w:rPr>
          <w:b/>
        </w:rPr>
        <w:t xml:space="preserve">☐ </w:t>
      </w:r>
      <w:r>
        <w:t>Mortgage statement before and after escrow began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Identify whether escrow existed at closing or was created later; the 45-day clock uses a different start date in those two situations.</w:t>
      </w:r>
    </w:p>
    <w:p>
      <w:pPr>
        <w:pStyle w:val="Checklist"/>
      </w:pPr>
      <w:r>
        <w:rPr>
          <w:b/>
        </w:rPr>
        <w:t xml:space="preserve">☐ </w:t>
      </w:r>
      <w:r>
        <w:t>Compare each projected item with the then-current tax/insurance information rather than evaluating only the total monthly escrow deposit.</w:t>
      </w:r>
    </w:p>
    <w:p>
      <w:pPr>
        <w:pStyle w:val="Checklist"/>
      </w:pPr>
      <w:r>
        <w:rPr>
          <w:b/>
        </w:rPr>
        <w:t xml:space="preserve">☐ </w:t>
      </w:r>
      <w:r>
        <w:t>Check the first-year trial balance for the selected cushion and the timing of large disbursements; an apparently high first deposit may reflect timing rather than an annual overcharge.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1024.17(g) • 12 CFR § 1024.17(c)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