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920"/>
        <w:gridCol w:w="2232"/>
      </w:tblGrid>
      <w:tr>
        <w:tc>
          <w:tcPr>
            <w:tcW w:type="dxa" w:w="5227"/>
            <w:shd w:fill="F6F1E7"/>
            <w:tcBorders>
              <w:top w:val="single" w:sz="0" w:color="F6F1E7"/>
              <w:left w:val="single" w:sz="0" w:color="F6F1E7"/>
              <w:bottom w:val="single" w:sz="0" w:color="F6F1E7"/>
              <w:right w:val="single" w:sz="0" w:color="F6F1E7"/>
              <w:insideH w:val="single" w:sz="0" w:color="F6F1E7"/>
              <w:insideV w:val="single" w:sz="0" w:color="F6F1E7"/>
            </w:tcBorders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color w:val="C57B46"/>
                <w:sz w:val="17"/>
              </w:rPr>
              <w:t>INSURANCE CHECKLIST</w:t>
            </w:r>
          </w:p>
          <w:p>
            <w:pPr>
              <w:spacing w:after="0"/>
            </w:pPr>
            <w:r>
              <w:rPr>
                <w:rFonts w:ascii="Aptos Display" w:hAnsi="Aptos Display"/>
                <w:b/>
                <w:color w:val="15332D"/>
                <w:sz w:val="46"/>
              </w:rPr>
              <w:t>Insurance Policy Switch Escrow Handoff Checklist</w:t>
            </w:r>
          </w:p>
        </w:tc>
        <w:tc>
          <w:tcPr>
            <w:tcW w:type="dxa" w:w="5227"/>
            <w:shd w:fill="174F43"/>
            <w:tcBorders>
              <w:top w:val="single" w:sz="0" w:color="F6F1E7"/>
              <w:left w:val="single" w:sz="0" w:color="F6F1E7"/>
              <w:bottom w:val="single" w:sz="0" w:color="F6F1E7"/>
              <w:right w:val="single" w:sz="0" w:color="F6F1E7"/>
              <w:insideH w:val="single" w:sz="0" w:color="F6F1E7"/>
              <w:insideV w:val="single" w:sz="0" w:color="F6F1E7"/>
            </w:tcBorders>
            <w:vAlign w:val="center"/>
          </w:tcPr>
          <w:p>
            <w:pPr>
              <w:jc w:val="center"/>
            </w:pPr>
            <w:r>
              <w:rPr>
                <w:rFonts w:ascii="Aptos Display" w:hAnsi="Aptos Display"/>
                <w:b/>
                <w:color w:val="FFFFFF"/>
                <w:sz w:val="56"/>
              </w:rPr>
              <w:t>33</w:t>
            </w:r>
          </w:p>
          <w:p>
            <w:pPr>
              <w:jc w:val="center"/>
            </w:pPr>
            <w:r>
              <w:rPr>
                <w:rFonts w:ascii="Aptos" w:hAnsi="Aptos"/>
                <w:b/>
                <w:color w:val="DCEAE6"/>
                <w:sz w:val="15"/>
              </w:rPr>
              <w:t>MANAGE SWITCH</w:t>
            </w:r>
          </w:p>
        </w:tc>
      </w:tr>
    </w:tbl>
    <w:p>
      <w:pPr>
        <w:spacing w:before="160" w:after="120"/>
      </w:pPr>
      <w:r>
        <w:rPr>
          <w:color w:val="48675F"/>
          <w:sz w:val="21"/>
        </w:rPr>
        <w:t>Coordinate the old carrier, new carrier, mortgagee clause, premium payment, cancellation date, and any old-policy refund when homeowners insurance changes mid-escrow year.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184"/>
        <w:gridCol w:w="4968"/>
      </w:tblGrid>
      <w:tr>
        <w:tc>
          <w:tcPr>
            <w:tcW w:type="dxa" w:w="5227"/>
            <w:shd w:fill="FFFDF9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</w:tcPr>
          <w:p>
            <w:r>
              <w:rPr>
                <w:b/>
                <w:color w:val="C57B46"/>
                <w:sz w:val="16"/>
              </w:rPr>
              <w:t>WHEN TO USE</w:t>
            </w:r>
          </w:p>
          <w:p>
            <w:pPr>
              <w:spacing w:after="0"/>
            </w:pPr>
            <w:r>
              <w:rPr>
                <w:sz w:val="18"/>
              </w:rPr>
              <w:t>Coordinate the old carrier, new carrier, mortgagee clause, premium payment, cancellation date, and any old-policy refund when homeowners insurance changes mid-escrow year.</w:t>
            </w:r>
          </w:p>
        </w:tc>
        <w:tc>
          <w:tcPr>
            <w:tcW w:type="dxa" w:w="5227"/>
            <w:shd w:fill="FFFDF9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</w:tcPr>
          <w:p>
            <w:r>
              <w:rPr>
                <w:b/>
                <w:color w:val="C57B46"/>
                <w:sz w:val="16"/>
              </w:rPr>
              <w:t>FEDERAL / PRIMARY REFERENCE</w:t>
            </w:r>
          </w:p>
          <w:p>
            <w:pPr>
              <w:spacing w:after="0"/>
            </w:pPr>
            <w:r>
              <w:rPr>
                <w:sz w:val="18"/>
              </w:rPr>
              <w:t>12 CFR § 1024.17 · 12 CFR § 1024.34(a)</w:t>
            </w:r>
          </w:p>
        </w:tc>
      </w:tr>
    </w:tbl>
    <w:p>
      <w:pPr>
        <w:pStyle w:val="Heading1"/>
      </w:pPr>
      <w:r>
        <w:t>Federal baseline to check</w:t>
      </w:r>
    </w:p>
    <w:p>
      <w:pPr>
        <w:pStyle w:val="Checklist"/>
      </w:pPr>
      <w:r>
        <w:rPr>
          <w:b/>
        </w:rPr>
        <w:t xml:space="preserve">☐ </w:t>
      </w:r>
      <w:r>
        <w:t>A change of insurer can create two separate escrow events: payment of the new premium and a refund/credit from the old policy. They should be tracked independently.</w:t>
      </w:r>
    </w:p>
    <w:p>
      <w:pPr>
        <w:pStyle w:val="Checklist"/>
      </w:pPr>
      <w:r>
        <w:rPr>
          <w:b/>
        </w:rPr>
        <w:t xml:space="preserve">☐ </w:t>
      </w:r>
      <w:r>
        <w:t>When the servicer knows the premium charge for the next computation year, the known amount should be used in the escrow estimate.</w:t>
      </w:r>
    </w:p>
    <w:p>
      <w:pPr>
        <w:pStyle w:val="Checklist"/>
      </w:pPr>
      <w:r>
        <w:rPr>
          <w:b/>
        </w:rPr>
        <w:t xml:space="preserve">☐ </w:t>
      </w:r>
      <w:r>
        <w:t>For escrowed insurance disbursements, the servicer's timely-payment duty is separate from the insurer's policy-cancellation/refund process.</w:t>
      </w:r>
    </w:p>
    <w:p>
      <w:pPr>
        <w:spacing w:before="160" w:after="80"/>
      </w:pPr>
      <w:r>
        <w:rPr>
          <w:rFonts w:ascii="Aptos" w:hAnsi="Aptos"/>
          <w:b/>
          <w:color w:val="C57B46"/>
          <w:sz w:val="17"/>
        </w:rPr>
        <w:t>BORROWER AND LOAN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Borrower name</w:t>
              <w:br/>
            </w:r>
            <w:r>
              <w:rPr>
                <w:sz w:val="20"/>
              </w:rPr>
              <w:t>________________________________</w:t>
            </w:r>
          </w:p>
        </w:tc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Property address</w:t>
              <w:br/>
            </w:r>
            <w:r>
              <w:rPr>
                <w:sz w:val="20"/>
              </w:rPr>
              <w:t>________________________________</w:t>
            </w:r>
          </w:p>
        </w:tc>
      </w:tr>
      <w:tr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Loan/account number</w:t>
              <w:br/>
            </w:r>
            <w:r>
              <w:rPr>
                <w:sz w:val="20"/>
              </w:rPr>
              <w:t>________________________________</w:t>
            </w:r>
          </w:p>
        </w:tc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Servicer name</w:t>
              <w:br/>
            </w:r>
            <w:r>
              <w:rPr>
                <w:sz w:val="20"/>
              </w:rPr>
              <w:t>________________________________</w:t>
            </w:r>
          </w:p>
        </w:tc>
      </w:tr>
    </w:tbl>
    <w:p>
      <w:pPr>
        <w:pStyle w:val="Heading2"/>
      </w:pPr>
      <w:r>
        <w:t>Old policy closeout</w:t>
      </w:r>
    </w:p>
    <w:p>
      <w:pPr>
        <w:pStyle w:val="FillLine"/>
      </w:pPr>
      <w:r>
        <w:rPr>
          <w:color w:val="15332D"/>
          <w:sz w:val="21"/>
        </w:rPr>
        <w:t>Old policy ends: __________   Old-carrier refund expected: $__________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New policy setup</w:t>
      </w:r>
    </w:p>
    <w:p>
      <w:pPr>
        <w:pStyle w:val="FillLine"/>
      </w:pPr>
      <w:r>
        <w:rPr>
          <w:color w:val="15332D"/>
          <w:sz w:val="21"/>
        </w:rPr>
        <w:t>New policy effective: __________   New premium: $__________   Policy #: ____________________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Mortgagee clause</w:t>
      </w:r>
    </w:p>
    <w:p>
      <w:pPr>
        <w:pStyle w:val="FillLine"/>
      </w:pPr>
      <w:r>
        <w:rPr>
          <w:color w:val="15332D"/>
          <w:sz w:val="21"/>
        </w:rPr>
        <w:t>Mortgagee clause / loan number confirmed on new policy? Yes / No   Date: 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Premium funding</w:t>
      </w:r>
    </w:p>
    <w:p>
      <w:pPr>
        <w:pStyle w:val="FillLine"/>
      </w:pPr>
      <w:r>
        <w:rPr>
          <w:color w:val="15332D"/>
          <w:sz w:val="21"/>
        </w:rPr>
        <w:t>New premium funded by: Escrow / Borrower / Other   Servicer paid/confirmed: 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Refund destination</w:t>
      </w:r>
    </w:p>
    <w:p>
      <w:pPr>
        <w:pStyle w:val="FillLine"/>
      </w:pPr>
      <w:r>
        <w:rPr>
          <w:color w:val="15332D"/>
          <w:sz w:val="21"/>
        </w:rPr>
        <w:t>Old-policy refund sent to: Borrower / Servicer / Other   Amount/date: $__________ / 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1"/>
      </w:pPr>
      <w:r>
        <w:t>Attachment checklist</w:t>
      </w:r>
    </w:p>
    <w:p>
      <w:pPr>
        <w:pStyle w:val="Checklist"/>
      </w:pPr>
      <w:r>
        <w:rPr>
          <w:b/>
        </w:rPr>
        <w:t xml:space="preserve">☐ </w:t>
      </w:r>
      <w:r>
        <w:t>Old declarations page</w:t>
      </w:r>
    </w:p>
    <w:p>
      <w:pPr>
        <w:pStyle w:val="Checklist"/>
      </w:pPr>
      <w:r>
        <w:rPr>
          <w:b/>
        </w:rPr>
        <w:t xml:space="preserve">☐ </w:t>
      </w:r>
      <w:r>
        <w:t>New declarations page and invoice</w:t>
      </w:r>
    </w:p>
    <w:p>
      <w:pPr>
        <w:pStyle w:val="Checklist"/>
      </w:pPr>
      <w:r>
        <w:rPr>
          <w:b/>
        </w:rPr>
        <w:t xml:space="preserve">☐ </w:t>
      </w:r>
      <w:r>
        <w:t>Cancellation confirmation</w:t>
      </w:r>
    </w:p>
    <w:p>
      <w:pPr>
        <w:pStyle w:val="Checklist"/>
      </w:pPr>
      <w:r>
        <w:rPr>
          <w:b/>
        </w:rPr>
        <w:t xml:space="preserve">☐ </w:t>
      </w:r>
      <w:r>
        <w:t>Refund notice from old carrier</w:t>
      </w:r>
    </w:p>
    <w:p>
      <w:pPr>
        <w:pStyle w:val="Checklist"/>
      </w:pPr>
      <w:r>
        <w:rPr>
          <w:b/>
        </w:rPr>
        <w:t xml:space="preserve">☐ </w:t>
      </w:r>
      <w:r>
        <w:t>Servicer insurance-upload confirmation</w:t>
      </w:r>
    </w:p>
    <w:p>
      <w:pPr>
        <w:pStyle w:val="Checklist"/>
      </w:pPr>
      <w:r>
        <w:rPr>
          <w:b/>
        </w:rPr>
        <w:t xml:space="preserve">☐ </w:t>
      </w:r>
      <w:r>
        <w:t>Copy of this completed template retained for your records</w:t>
      </w:r>
    </w:p>
    <w:p>
      <w:pPr>
        <w:pStyle w:val="Checklist"/>
      </w:pPr>
      <w:r>
        <w:rPr>
          <w:b/>
        </w:rPr>
        <w:t xml:space="preserve">☐ </w:t>
      </w:r>
      <w:r>
        <w:t>Mailing / delivery confirmation retained if sent formally</w:t>
      </w:r>
    </w:p>
    <w:p>
      <w:pPr>
        <w:pStyle w:val="Heading1"/>
      </w:pPr>
      <w:r>
        <w:t>Use notes</w:t>
      </w:r>
    </w:p>
    <w:p>
      <w:pPr>
        <w:pStyle w:val="Checklist"/>
      </w:pPr>
      <w:r>
        <w:rPr>
          <w:b/>
        </w:rPr>
        <w:t xml:space="preserve">☐ </w:t>
      </w:r>
      <w:r>
        <w:t>Do not cancel the old policy before confirming the new policy is effective and the mortgagee clause is correct; a coverage gap can trigger force-placed insurance concerns.</w:t>
      </w:r>
    </w:p>
    <w:p>
      <w:pPr>
        <w:pStyle w:val="Checklist"/>
      </w:pPr>
      <w:r>
        <w:rPr>
          <w:b/>
        </w:rPr>
        <w:t xml:space="preserve">☐ </w:t>
      </w:r>
      <w:r>
        <w:t>If the old carrier sends a refund to you, ask the servicer whether and how it should be applied to escrow before assuming the refund is yours to spend.</w:t>
      </w:r>
    </w:p>
    <w:p>
      <w:pPr>
        <w:pStyle w:val="Checklist"/>
      </w:pPr>
      <w:r>
        <w:rPr>
          <w:b/>
        </w:rPr>
        <w:t xml:space="preserve">☐ </w:t>
      </w:r>
      <w:r>
        <w:t>Save the new declarations page, invoice, proof the servicer accepted the policy, and any premium disbursement confirmation as one handoff packet.</w:t>
      </w:r>
    </w:p>
    <w:p>
      <w:pPr>
        <w:pStyle w:val="Checklist"/>
      </w:pPr>
      <w:r>
        <w:rPr>
          <w:b/>
        </w:rPr>
        <w:t xml:space="preserve">☐ </w:t>
      </w:r>
      <w:r>
        <w:t>Keep a complete copy of the completed template and supporting records; send copies rather than irreplaceable originals when copies are sufficient.</w:t>
      </w:r>
    </w:p>
    <w:p>
      <w:pPr>
        <w:spacing w:before="180"/>
      </w:pPr>
      <w:r>
        <w:rPr>
          <w:b/>
          <w:color w:val="C57B46"/>
          <w:sz w:val="16"/>
        </w:rPr>
        <w:t>PRIMARY SOURCES TO CHECK</w:t>
      </w:r>
    </w:p>
    <w:p>
      <w:r>
        <w:rPr>
          <w:color w:val="48675F"/>
          <w:sz w:val="17"/>
        </w:rPr>
        <w:t>12 CFR § 1024.17 • 12 CFR § 1024.34(a)</w:t>
      </w:r>
    </w:p>
    <w:p>
      <w:pPr>
        <w:keepNext w:val="0"/>
        <w:spacing w:after="0"/>
      </w:pPr>
      <w:r>
        <w:rPr>
          <w:color w:val="48675F"/>
          <w:sz w:val="13"/>
        </w:rPr>
        <w:t>Official links: https://www.consumerfinance.gov/rules-policy/regulations/1024/17/  |  https://www.consumerfinance.gov/rules-policy/regulations/1024/34/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92" w:right="893" w:bottom="792" w:left="893" w:header="317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48675F"/>
        <w:sz w:val="15"/>
      </w:rPr>
      <w:t>EscrowGuide  |  Educational worksheet - not legal, tax, lending, or insurance advice  |  escrowguide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color w:val="174F43"/>
        <w:sz w:val="16"/>
      </w:rPr>
      <w:t>ESCROWGUIDE  /  FREE HOMEOWNER RESOURCE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color w:val="15332D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533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C57B46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200"/>
      <w:contextualSpacing/>
    </w:pPr>
    <w:rPr>
      <w:rFonts w:asciiTheme="majorHAnsi" w:eastAsiaTheme="majorEastAsia" w:hAnsiTheme="majorHAnsi" w:cstheme="majorBidi" w:ascii="Aptos Display" w:hAnsi="Aptos Display"/>
      <w:b/>
      <w:color w:val="15332D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illLine">
    <w:name w:val="FillLine"/>
    <w:pPr>
      <w:spacing w:after="160"/>
      <w:pBdr>
        <w:bottom w:val="single" w:sz="4" w:space="2" w:color="B9C9C3"/>
      </w:pBdr>
    </w:pPr>
    <w:rPr>
      <w:rFonts w:ascii="Aptos" w:hAnsi="Aptos"/>
      <w:sz w:val="21"/>
    </w:rPr>
  </w:style>
  <w:style w:type="paragraph" w:customStyle="1" w:styleId="Checklist">
    <w:name w:val="Checklist"/>
    <w:pPr>
      <w:spacing w:after="80"/>
      <w:ind w:left="72"/>
    </w:pPr>
    <w:rPr>
      <w:rFonts w:ascii="Aptos" w:hAnsi="Aptos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