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ESTIMATE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Known Bill vs Servicer Escrow Estimate Comparison 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26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COMPARE ESTIMATE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Compare a tax or insurance amount the servicer knew or could document with the amount used in the escrow analysis, while keeping unknown-charge estimation rules separate.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Compare a tax or insurance amount the servicer knew or could document with the amount used in the escrow analysis, while keeping unknown-charge estimation rules separate.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1024.17(c)(7) · 12 CFR § 1024.17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If the servicer knows the charge for an escrow item in the next computation year, Regulation X requires it to use that amount in estimating the disbursement.</w:t>
      </w:r>
    </w:p>
    <w:p>
      <w:pPr>
        <w:pStyle w:val="Checklist"/>
      </w:pPr>
      <w:r>
        <w:rPr>
          <w:b/>
        </w:rPr>
        <w:t xml:space="preserve">☐ </w:t>
      </w:r>
      <w:r>
        <w:t>If the charge is unknown, the servicer may generally use the preceding year's charge or that charge adjusted by no more than the most recent annual CPI change; unassessed new construction has a separate comparable-property method.</w:t>
      </w:r>
    </w:p>
    <w:p>
      <w:pPr>
        <w:pStyle w:val="Checklist"/>
      </w:pPr>
      <w:r>
        <w:rPr>
          <w:b/>
        </w:rPr>
        <w:t xml:space="preserve">☐ </w:t>
      </w:r>
      <w:r>
        <w:t>A corrected official bill can therefore matter differently depending on whether it was available to the servicer when the analysis was performed.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Charge status</w:t>
      </w:r>
    </w:p>
    <w:p>
      <w:pPr>
        <w:pStyle w:val="FillLine"/>
      </w:pPr>
      <w:r>
        <w:rPr>
          <w:color w:val="15332D"/>
          <w:sz w:val="21"/>
        </w:rPr>
        <w:t>Escrow item / payee: ____________________   Official bill/source: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Known amount</w:t>
      </w:r>
    </w:p>
    <w:p>
      <w:pPr>
        <w:pStyle w:val="FillLine"/>
      </w:pPr>
      <w:r>
        <w:rPr>
          <w:color w:val="15332D"/>
          <w:sz w:val="21"/>
        </w:rPr>
        <w:t>Known official amount: $__________   Bill became available: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Escrow estimate</w:t>
      </w:r>
    </w:p>
    <w:p>
      <w:pPr>
        <w:pStyle w:val="FillLine"/>
      </w:pPr>
      <w:r>
        <w:rPr>
          <w:color w:val="15332D"/>
          <w:sz w:val="21"/>
        </w:rPr>
        <w:t>Servicer estimate used: $__________   Analysis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Timing of knowledge</w:t>
      </w:r>
    </w:p>
    <w:p>
      <w:pPr>
        <w:pStyle w:val="FillLine"/>
      </w:pPr>
      <w:r>
        <w:rPr>
          <w:color w:val="15332D"/>
          <w:sz w:val="21"/>
        </w:rPr>
        <w:t>Was official amount available to servicer by analysis date? Yes / No / Unsure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Difference to explain</w:t>
      </w:r>
    </w:p>
    <w:p>
      <w:pPr>
        <w:pStyle w:val="FillLine"/>
      </w:pPr>
      <w:r>
        <w:rPr>
          <w:color w:val="15332D"/>
          <w:sz w:val="21"/>
        </w:rPr>
        <w:t>Difference: $__________   Follow-up / off-cycle analysis request: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Official tax bill or insurance renewal</w:t>
      </w:r>
    </w:p>
    <w:p>
      <w:pPr>
        <w:pStyle w:val="Checklist"/>
      </w:pPr>
      <w:r>
        <w:rPr>
          <w:b/>
        </w:rPr>
        <w:t xml:space="preserve">☐ </w:t>
      </w:r>
      <w:r>
        <w:t>Escrow analysis</w:t>
      </w:r>
    </w:p>
    <w:p>
      <w:pPr>
        <w:pStyle w:val="Checklist"/>
      </w:pPr>
      <w:r>
        <w:rPr>
          <w:b/>
        </w:rPr>
        <w:t xml:space="preserve">☐ </w:t>
      </w:r>
      <w:r>
        <w:t>Record showing when the servicer received or could access the amount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Record the date the official bill became available and the date the servicer performed its analysis; timing is essential to evaluating whether the charge was 'known.'</w:t>
      </w:r>
    </w:p>
    <w:p>
      <w:pPr>
        <w:pStyle w:val="Checklist"/>
      </w:pPr>
      <w:r>
        <w:rPr>
          <w:b/>
        </w:rPr>
        <w:t xml:space="preserve">☐ </w:t>
      </w:r>
      <w:r>
        <w:t>Use the exact same escrow item when comparing old and new amounts. Do not combine county, school, municipal, and supplemental taxes unless the servicer did so.</w:t>
      </w:r>
    </w:p>
    <w:p>
      <w:pPr>
        <w:pStyle w:val="Checklist"/>
      </w:pPr>
      <w:r>
        <w:rPr>
          <w:b/>
        </w:rPr>
        <w:t xml:space="preserve">☐ </w:t>
      </w:r>
      <w:r>
        <w:t>If the servicer did not have the bill at analysis, document when you later supplied it and request the account's process for an updated/off-cycle analysis rather than assuming an immediate recalculation is required.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1024.17(c)(7) • 12 CFR § 1024.17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