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920"/>
        <w:gridCol w:w="2232"/>
      </w:tblGrid>
      <w:tr>
        <w:tc>
          <w:tcPr>
            <w:tcW w:type="dxa" w:w="5227"/>
            <w:shd w:fill="F6F1E7"/>
            <w:tcBorders>
              <w:top w:val="single" w:sz="0" w:color="F6F1E7"/>
              <w:left w:val="single" w:sz="0" w:color="F6F1E7"/>
              <w:bottom w:val="single" w:sz="0" w:color="F6F1E7"/>
              <w:right w:val="single" w:sz="0" w:color="F6F1E7"/>
              <w:insideH w:val="single" w:sz="0" w:color="F6F1E7"/>
              <w:insideV w:val="single" w:sz="0" w:color="F6F1E7"/>
            </w:tcBorders>
            <w:vAlign w:val="center"/>
          </w:tcPr>
          <w:p>
            <w:pPr>
              <w:spacing w:after="0"/>
            </w:pPr>
            <w:r>
              <w:rPr>
                <w:rFonts w:ascii="Aptos" w:hAnsi="Aptos"/>
                <w:b/>
                <w:color w:val="C57B46"/>
                <w:sz w:val="17"/>
              </w:rPr>
              <w:t>FOLLOW-UP LETTER</w:t>
            </w:r>
          </w:p>
          <w:p>
            <w:pPr>
              <w:spacing w:after="0"/>
            </w:pPr>
            <w:r>
              <w:rPr>
                <w:rFonts w:ascii="Aptos Display" w:hAnsi="Aptos Display"/>
                <w:b/>
                <w:color w:val="15332D"/>
                <w:sz w:val="46"/>
              </w:rPr>
              <w:t>Missing Annual Escrow Statement Follow-Up Letter</w:t>
            </w:r>
          </w:p>
        </w:tc>
        <w:tc>
          <w:tcPr>
            <w:tcW w:type="dxa" w:w="5227"/>
            <w:shd w:fill="174F43"/>
            <w:tcBorders>
              <w:top w:val="single" w:sz="0" w:color="F6F1E7"/>
              <w:left w:val="single" w:sz="0" w:color="F6F1E7"/>
              <w:bottom w:val="single" w:sz="0" w:color="F6F1E7"/>
              <w:right w:val="single" w:sz="0" w:color="F6F1E7"/>
              <w:insideH w:val="single" w:sz="0" w:color="F6F1E7"/>
              <w:insideV w:val="single" w:sz="0" w:color="F6F1E7"/>
            </w:tcBorders>
            <w:vAlign w:val="center"/>
          </w:tcPr>
          <w:p>
            <w:pPr>
              <w:jc w:val="center"/>
            </w:pPr>
            <w:r>
              <w:rPr>
                <w:rFonts w:ascii="Aptos Display" w:hAnsi="Aptos Display"/>
                <w:b/>
                <w:color w:val="FFFFFF"/>
                <w:sz w:val="56"/>
              </w:rPr>
              <w:t>21</w:t>
            </w:r>
          </w:p>
          <w:p>
            <w:pPr>
              <w:jc w:val="center"/>
            </w:pPr>
            <w:r>
              <w:rPr>
                <w:rFonts w:ascii="Aptos" w:hAnsi="Aptos"/>
                <w:b/>
                <w:color w:val="DCEAE6"/>
                <w:sz w:val="15"/>
              </w:rPr>
              <w:t>REQUEST STATEMENT</w:t>
            </w:r>
          </w:p>
        </w:tc>
      </w:tr>
    </w:tbl>
    <w:p>
      <w:pPr>
        <w:spacing w:before="160" w:after="120"/>
      </w:pPr>
      <w:r>
        <w:rPr>
          <w:color w:val="48675F"/>
          <w:sz w:val="21"/>
        </w:rPr>
        <w:t>Use this when you are current on the mortgage but the annual escrow account statement has not arrived after the computation year ended.</w:t>
      </w:r>
    </w:p>
    <w:tbl>
      <w:tblPr>
        <w:tblW w:type="auto" w:w="0"/>
        <w:tblLayout w:type="fixed"/>
        <w:tblLook w:firstColumn="1" w:firstRow="1" w:lastColumn="0" w:lastRow="0" w:noHBand="0" w:noVBand="1" w:val="04A0"/>
      </w:tblPr>
      <w:tblGrid>
        <w:gridCol w:w="5184"/>
        <w:gridCol w:w="4968"/>
      </w:tblGrid>
      <w:tr>
        <w:tc>
          <w:tcPr>
            <w:tcW w:type="dxa" w:w="5227"/>
            <w:shd w:fill="FFFDF9"/>
            <w:tcBorders>
              <w:top w:val="single" w:sz="6" w:color="D9DED8"/>
              <w:left w:val="single" w:sz="6" w:color="D9DED8"/>
              <w:bottom w:val="single" w:sz="6" w:color="D9DED8"/>
              <w:right w:val="single" w:sz="6" w:color="D9DED8"/>
              <w:insideH w:val="single" w:sz="6" w:color="D9DED8"/>
              <w:insideV w:val="single" w:sz="6" w:color="D9DED8"/>
            </w:tcBorders>
          </w:tcPr>
          <w:p>
            <w:r>
              <w:rPr>
                <w:b/>
                <w:color w:val="C57B46"/>
                <w:sz w:val="16"/>
              </w:rPr>
              <w:t>WHEN TO USE</w:t>
            </w:r>
          </w:p>
          <w:p>
            <w:pPr>
              <w:spacing w:after="0"/>
            </w:pPr>
            <w:r>
              <w:rPr>
                <w:sz w:val="18"/>
              </w:rPr>
              <w:t>Use this when you are current on the mortgage but the annual escrow account statement has not arrived after the computation year ended.</w:t>
            </w:r>
          </w:p>
        </w:tc>
        <w:tc>
          <w:tcPr>
            <w:tcW w:type="dxa" w:w="5227"/>
            <w:shd w:fill="FFFDF9"/>
            <w:tcBorders>
              <w:top w:val="single" w:sz="6" w:color="D9DED8"/>
              <w:left w:val="single" w:sz="6" w:color="D9DED8"/>
              <w:bottom w:val="single" w:sz="6" w:color="D9DED8"/>
              <w:right w:val="single" w:sz="6" w:color="D9DED8"/>
              <w:insideH w:val="single" w:sz="6" w:color="D9DED8"/>
              <w:insideV w:val="single" w:sz="6" w:color="D9DED8"/>
            </w:tcBorders>
          </w:tcPr>
          <w:p>
            <w:r>
              <w:rPr>
                <w:b/>
                <w:color w:val="C57B46"/>
                <w:sz w:val="16"/>
              </w:rPr>
              <w:t>FEDERAL / PRIMARY REFERENCE</w:t>
            </w:r>
          </w:p>
          <w:p>
            <w:pPr>
              <w:spacing w:after="0"/>
            </w:pPr>
            <w:r>
              <w:rPr>
                <w:sz w:val="18"/>
              </w:rPr>
              <w:t>12 CFR § 1024.17(i) · 12 CFR § 1024.36</w:t>
            </w:r>
          </w:p>
        </w:tc>
      </w:tr>
    </w:tbl>
    <w:p>
      <w:pPr>
        <w:pStyle w:val="Heading1"/>
      </w:pPr>
      <w:r>
        <w:t>Federal baseline to check</w:t>
      </w:r>
    </w:p>
    <w:p>
      <w:pPr>
        <w:pStyle w:val="Checklist"/>
      </w:pPr>
      <w:r>
        <w:rPr>
          <w:b/>
        </w:rPr>
        <w:t xml:space="preserve">☐ </w:t>
      </w:r>
      <w:r>
        <w:t>An annual escrow statement is generally due within 30 calendar days after the escrow computation year ends.</w:t>
      </w:r>
    </w:p>
    <w:p>
      <w:pPr>
        <w:pStyle w:val="Checklist"/>
      </w:pPr>
      <w:r>
        <w:rPr>
          <w:b/>
        </w:rPr>
        <w:t xml:space="preserve">☐ </w:t>
      </w:r>
      <w:r>
        <w:t>The servicer is exempt from the annual-statement requirement in certain circumstances, including when the borrower is more than 30 days overdue at analysis, foreclosure has been initiated, or the borrower is in bankruptcy.</w:t>
      </w:r>
    </w:p>
    <w:p>
      <w:pPr>
        <w:pStyle w:val="Checklist"/>
      </w:pPr>
      <w:r>
        <w:rPr>
          <w:b/>
        </w:rPr>
        <w:t xml:space="preserve">☐ </w:t>
      </w:r>
      <w:r>
        <w:t>If a statement was omitted under that exemption and the loan later becomes current, the servicer must provide account history since the last annual statement within 90 days of the date the loan became current.</w:t>
      </w:r>
    </w:p>
    <w:p>
      <w:pPr>
        <w:spacing w:before="160" w:after="80"/>
      </w:pPr>
      <w:r>
        <w:rPr>
          <w:rFonts w:ascii="Aptos" w:hAnsi="Aptos"/>
          <w:b/>
          <w:color w:val="C57B46"/>
          <w:sz w:val="17"/>
        </w:rPr>
        <w:t>BORROWER AND LOAN</w:t>
      </w:r>
    </w:p>
    <w:tbl>
      <w:tblPr>
        <w:tblW w:type="auto" w:w="0"/>
        <w:tblLayout w:type="autofit"/>
        <w:tblLook w:firstColumn="1" w:firstRow="1" w:lastColumn="0" w:lastRow="0" w:noHBand="0" w:noVBand="1" w:val="04A0"/>
      </w:tblPr>
      <w:tblGrid>
        <w:gridCol w:w="5227"/>
        <w:gridCol w:w="5227"/>
      </w:tblGrid>
      <w:tr>
        <w:tc>
          <w:tcPr>
            <w:tcW w:type="dxa" w:w="5227"/>
            <w:tcBorders>
              <w:top w:val="single" w:sz="6" w:color="D9DED8"/>
              <w:left w:val="single" w:sz="6" w:color="D9DED8"/>
              <w:bottom w:val="single" w:sz="6" w:color="D9DED8"/>
              <w:right w:val="single" w:sz="6" w:color="D9DED8"/>
              <w:insideH w:val="single" w:sz="6" w:color="D9DED8"/>
              <w:insideV w:val="single" w:sz="6" w:color="D9DED8"/>
            </w:tcBorders>
            <w:shd w:fill="FFFFFF"/>
          </w:tcPr>
          <w:p>
            <w:r>
              <w:rPr>
                <w:b/>
                <w:color w:val="48675F"/>
                <w:sz w:val="16"/>
              </w:rPr>
              <w:t>Borrower name</w:t>
              <w:br/>
            </w:r>
            <w:r>
              <w:rPr>
                <w:sz w:val="20"/>
              </w:rPr>
              <w:t>________________________________</w:t>
            </w:r>
          </w:p>
        </w:tc>
        <w:tc>
          <w:tcPr>
            <w:tcW w:type="dxa" w:w="5227"/>
            <w:tcBorders>
              <w:top w:val="single" w:sz="6" w:color="D9DED8"/>
              <w:left w:val="single" w:sz="6" w:color="D9DED8"/>
              <w:bottom w:val="single" w:sz="6" w:color="D9DED8"/>
              <w:right w:val="single" w:sz="6" w:color="D9DED8"/>
              <w:insideH w:val="single" w:sz="6" w:color="D9DED8"/>
              <w:insideV w:val="single" w:sz="6" w:color="D9DED8"/>
            </w:tcBorders>
            <w:shd w:fill="FFFFFF"/>
          </w:tcPr>
          <w:p>
            <w:r>
              <w:rPr>
                <w:b/>
                <w:color w:val="48675F"/>
                <w:sz w:val="16"/>
              </w:rPr>
              <w:t>Property address</w:t>
              <w:br/>
            </w:r>
            <w:r>
              <w:rPr>
                <w:sz w:val="20"/>
              </w:rPr>
              <w:t>________________________________</w:t>
            </w:r>
          </w:p>
        </w:tc>
      </w:tr>
      <w:tr>
        <w:tc>
          <w:tcPr>
            <w:tcW w:type="dxa" w:w="5227"/>
            <w:tcBorders>
              <w:top w:val="single" w:sz="6" w:color="D9DED8"/>
              <w:left w:val="single" w:sz="6" w:color="D9DED8"/>
              <w:bottom w:val="single" w:sz="6" w:color="D9DED8"/>
              <w:right w:val="single" w:sz="6" w:color="D9DED8"/>
              <w:insideH w:val="single" w:sz="6" w:color="D9DED8"/>
              <w:insideV w:val="single" w:sz="6" w:color="D9DED8"/>
            </w:tcBorders>
            <w:shd w:fill="FFFFFF"/>
          </w:tcPr>
          <w:p>
            <w:r>
              <w:rPr>
                <w:b/>
                <w:color w:val="48675F"/>
                <w:sz w:val="16"/>
              </w:rPr>
              <w:t>Loan/account number</w:t>
              <w:br/>
            </w:r>
            <w:r>
              <w:rPr>
                <w:sz w:val="20"/>
              </w:rPr>
              <w:t>________________________________</w:t>
            </w:r>
          </w:p>
        </w:tc>
        <w:tc>
          <w:tcPr>
            <w:tcW w:type="dxa" w:w="5227"/>
            <w:tcBorders>
              <w:top w:val="single" w:sz="6" w:color="D9DED8"/>
              <w:left w:val="single" w:sz="6" w:color="D9DED8"/>
              <w:bottom w:val="single" w:sz="6" w:color="D9DED8"/>
              <w:right w:val="single" w:sz="6" w:color="D9DED8"/>
              <w:insideH w:val="single" w:sz="6" w:color="D9DED8"/>
              <w:insideV w:val="single" w:sz="6" w:color="D9DED8"/>
            </w:tcBorders>
            <w:shd w:fill="FFFFFF"/>
          </w:tcPr>
          <w:p>
            <w:r>
              <w:rPr>
                <w:b/>
                <w:color w:val="48675F"/>
                <w:sz w:val="16"/>
              </w:rPr>
              <w:t>Servicer name</w:t>
              <w:br/>
            </w:r>
            <w:r>
              <w:rPr>
                <w:sz w:val="20"/>
              </w:rPr>
              <w:t>________________________________</w:t>
            </w:r>
          </w:p>
        </w:tc>
      </w:tr>
    </w:tbl>
    <w:p>
      <w:pPr>
        <w:pStyle w:val="Heading2"/>
      </w:pPr>
      <w:r>
        <w:t>Expected statement window</w:t>
      </w:r>
    </w:p>
    <w:p>
      <w:pPr>
        <w:pStyle w:val="FillLine"/>
      </w:pPr>
      <w:r>
        <w:rPr>
          <w:color w:val="15332D"/>
          <w:sz w:val="21"/>
        </w:rPr>
        <w:t>Escrow computation year ended (if known): __________   30-calendar-day checkpoint: __________</w:t>
      </w:r>
    </w:p>
    <w:p>
      <w:pPr>
        <w:pStyle w:val="FillLine"/>
      </w:pPr>
      <w:r>
        <w:rPr>
          <w:color w:val="15332D"/>
          <w:sz w:val="21"/>
        </w:rPr>
        <w:t>Relevant date(s): ____________________   Amount(s): $____________________</w:t>
      </w:r>
    </w:p>
    <w:p>
      <w:pPr>
        <w:pStyle w:val="Heading2"/>
      </w:pPr>
      <w:r>
        <w:t>Current-account facts</w:t>
      </w:r>
    </w:p>
    <w:p>
      <w:pPr>
        <w:pStyle w:val="FillLine"/>
      </w:pPr>
      <w:r>
        <w:rPr>
          <w:color w:val="15332D"/>
          <w:sz w:val="21"/>
        </w:rPr>
        <w:t>Status at analysis: Current / &gt;30 days overdue / Unsure   Foreclosure/bankruptcy then? Yes / No / Unsure</w:t>
      </w:r>
    </w:p>
    <w:p>
      <w:pPr>
        <w:pStyle w:val="FillLine"/>
      </w:pPr>
      <w:r>
        <w:rPr>
          <w:color w:val="15332D"/>
          <w:sz w:val="21"/>
        </w:rPr>
        <w:t>Notes: ______________________________________________________________________________</w:t>
      </w:r>
    </w:p>
    <w:p>
      <w:pPr>
        <w:pStyle w:val="Heading2"/>
      </w:pPr>
      <w:r>
        <w:t>What is missing</w:t>
      </w:r>
    </w:p>
    <w:p>
      <w:pPr>
        <w:pStyle w:val="FillLine"/>
      </w:pPr>
      <w:r>
        <w:rPr>
          <w:color w:val="15332D"/>
          <w:sz w:val="21"/>
        </w:rPr>
        <w:t>Last annual/short-year statement received: __________   Period missing: ____________________</w:t>
      </w:r>
    </w:p>
    <w:p>
      <w:pPr>
        <w:pStyle w:val="FillLine"/>
      </w:pPr>
      <w:r>
        <w:rPr>
          <w:color w:val="15332D"/>
          <w:sz w:val="21"/>
        </w:rPr>
        <w:t>Notes: ______________________________________________________________________________</w:t>
      </w:r>
    </w:p>
    <w:p>
      <w:pPr>
        <w:pStyle w:val="Heading2"/>
      </w:pPr>
      <w:r>
        <w:t>Information requested</w:t>
      </w:r>
    </w:p>
    <w:p>
      <w:pPr>
        <w:pStyle w:val="FillLine"/>
      </w:pPr>
      <w:r>
        <w:rPr>
          <w:color w:val="15332D"/>
          <w:sz w:val="21"/>
        </w:rPr>
        <w:t>Specific statement/account-history records requested and date range: ____________________</w:t>
      </w:r>
    </w:p>
    <w:p>
      <w:pPr>
        <w:pStyle w:val="FillLine"/>
      </w:pPr>
      <w:r>
        <w:rPr>
          <w:color w:val="15332D"/>
          <w:sz w:val="21"/>
        </w:rPr>
        <w:t>Notes: ______________________________________________________________________________</w:t>
      </w:r>
    </w:p>
    <w:p>
      <w:pPr>
        <w:pStyle w:val="Heading1"/>
      </w:pPr>
      <w:r>
        <w:t>Draft letter body</w:t>
      </w:r>
    </w:p>
    <w:p>
      <w:r>
        <w:rPr>
          <w:b/>
        </w:rPr>
        <w:t xml:space="preserve">Date: </w:t>
      </w:r>
      <w:r>
        <w:t>____________________</w:t>
      </w:r>
    </w:p>
    <w:p>
      <w:r>
        <w:rPr>
          <w:b/>
        </w:rPr>
        <w:t xml:space="preserve">To: </w:t>
      </w:r>
      <w:r>
        <w:t>[Servicer name and designated NOE/RFI address, if the servicer has designated one]</w:t>
      </w:r>
    </w:p>
    <w:p>
      <w:r>
        <w:rPr>
          <w:b/>
        </w:rPr>
        <w:t xml:space="preserve">Re: </w:t>
      </w:r>
      <w:r>
        <w:t>Request statement - mortgage loan/account ____________________</w:t>
      </w:r>
    </w:p>
    <w:p>
      <w:pPr>
        <w:spacing w:line="269" w:lineRule="auto"/>
      </w:pPr>
      <w:r>
        <w:t>I am writing to request specific information concerning the servicing of the mortgage loan identified above. I am providing dates, amounts, and supporting records so the account can be reviewed accurately.</w:t>
        <w:br/>
        <w:br/>
        <w:t>Issue / request: __________________________________________________________________________________</w:t>
        <w:br/>
        <w:t>___________________________________________________________________________________________________</w:t>
        <w:br/>
        <w:br/>
        <w:t>Supporting facts and records: ______________________________________________________________________</w:t>
        <w:br/>
        <w:t>___________________________________________________________________________________________________</w:t>
        <w:br/>
        <w:br/>
        <w:t>Requested correction, information, or written explanation: ___________________________________________</w:t>
        <w:br/>
        <w:t>___________________________________________________________________________________________________</w:t>
      </w:r>
    </w:p>
    <w:p>
      <w:r>
        <w:rPr>
          <w:b/>
        </w:rPr>
        <w:t xml:space="preserve">Signature: </w:t>
      </w:r>
      <w:r>
        <w:t>________________________________    Date: ____________________</w:t>
      </w:r>
    </w:p>
    <w:p>
      <w:pPr>
        <w:pStyle w:val="Heading1"/>
      </w:pPr>
      <w:r>
        <w:t>Attachment checklist</w:t>
      </w:r>
    </w:p>
    <w:p>
      <w:pPr>
        <w:pStyle w:val="Checklist"/>
      </w:pPr>
      <w:r>
        <w:rPr>
          <w:b/>
        </w:rPr>
        <w:t xml:space="preserve">☐ </w:t>
      </w:r>
      <w:r>
        <w:t>Last annual escrow statement received</w:t>
      </w:r>
    </w:p>
    <w:p>
      <w:pPr>
        <w:pStyle w:val="Checklist"/>
      </w:pPr>
      <w:r>
        <w:rPr>
          <w:b/>
        </w:rPr>
        <w:t xml:space="preserve">☐ </w:t>
      </w:r>
      <w:r>
        <w:t>Recent mortgage statement showing current payment status</w:t>
      </w:r>
    </w:p>
    <w:p>
      <w:pPr>
        <w:pStyle w:val="Checklist"/>
      </w:pPr>
      <w:r>
        <w:rPr>
          <w:b/>
        </w:rPr>
        <w:t xml:space="preserve">☐ </w:t>
      </w:r>
      <w:r>
        <w:t>Any portal message or notice about the analysis date</w:t>
      </w:r>
    </w:p>
    <w:p>
      <w:pPr>
        <w:pStyle w:val="Checklist"/>
      </w:pPr>
      <w:r>
        <w:rPr>
          <w:b/>
        </w:rPr>
        <w:t xml:space="preserve">☐ </w:t>
      </w:r>
      <w:r>
        <w:t>Copy of this completed template retained for your records</w:t>
      </w:r>
    </w:p>
    <w:p>
      <w:pPr>
        <w:pStyle w:val="Checklist"/>
      </w:pPr>
      <w:r>
        <w:rPr>
          <w:b/>
        </w:rPr>
        <w:t xml:space="preserve">☐ </w:t>
      </w:r>
      <w:r>
        <w:t>Mailing / delivery confirmation retained if sent formally</w:t>
      </w:r>
    </w:p>
    <w:p>
      <w:pPr>
        <w:pStyle w:val="Heading1"/>
      </w:pPr>
      <w:r>
        <w:t>Use notes</w:t>
      </w:r>
    </w:p>
    <w:p>
      <w:pPr>
        <w:pStyle w:val="Checklist"/>
      </w:pPr>
      <w:r>
        <w:rPr>
          <w:b/>
        </w:rPr>
        <w:t xml:space="preserve">☐ </w:t>
      </w:r>
      <w:r>
        <w:t>Use this as an RFI when your main goal is obtaining the statement/history. If you are asserting a servicing failure, you may need a separate NOE framing the specific covered error.</w:t>
      </w:r>
    </w:p>
    <w:p>
      <w:pPr>
        <w:pStyle w:val="Checklist"/>
      </w:pPr>
      <w:r>
        <w:rPr>
          <w:b/>
        </w:rPr>
        <w:t xml:space="preserve">☐ </w:t>
      </w:r>
      <w:r>
        <w:t>Do not assume a missing annual statement is a violation until the delinquency/foreclosure/bankruptcy exceptions are checked.</w:t>
      </w:r>
    </w:p>
    <w:p>
      <w:pPr>
        <w:pStyle w:val="Checklist"/>
      </w:pPr>
      <w:r>
        <w:rPr>
          <w:b/>
        </w:rPr>
        <w:t xml:space="preserve">☐ </w:t>
      </w:r>
      <w:r>
        <w:t>If the account recently became current after an exempt period, record the reinstatement/current date and track the separate 90-day history deadline.</w:t>
      </w:r>
    </w:p>
    <w:p>
      <w:pPr>
        <w:pStyle w:val="Checklist"/>
      </w:pPr>
      <w:r>
        <w:rPr>
          <w:b/>
        </w:rPr>
        <w:t xml:space="preserve">☐ </w:t>
      </w:r>
      <w:r>
        <w:t>Keep a complete copy of the completed template and supporting records; send copies rather than irreplaceable originals when copies are sufficient.</w:t>
      </w:r>
    </w:p>
    <w:p>
      <w:pPr>
        <w:spacing w:before="180"/>
      </w:pPr>
      <w:r>
        <w:rPr>
          <w:b/>
          <w:color w:val="C57B46"/>
          <w:sz w:val="16"/>
        </w:rPr>
        <w:t>PRIMARY SOURCES TO CHECK</w:t>
      </w:r>
    </w:p>
    <w:p>
      <w:r>
        <w:rPr>
          <w:color w:val="48675F"/>
          <w:sz w:val="17"/>
        </w:rPr>
        <w:t>12 CFR § 1024.17(i) • 12 CFR § 1024.36</w:t>
      </w:r>
    </w:p>
    <w:p>
      <w:pPr>
        <w:keepNext w:val="0"/>
        <w:spacing w:after="0"/>
      </w:pPr>
      <w:r>
        <w:rPr>
          <w:color w:val="48675F"/>
          <w:sz w:val="13"/>
        </w:rPr>
        <w:t>Official links: https://www.consumerfinance.gov/rules-policy/regulations/1024/17/  |  https://www.consumerfinance.gov/rules-policy/regulations/1024/36/</w:t>
      </w:r>
    </w:p>
    <w:sectPr w:rsidR="00FC693F" w:rsidRPr="0006063C" w:rsidSect="00034616">
      <w:headerReference w:type="default" r:id="rId9"/>
      <w:footerReference w:type="default" r:id="rId10"/>
      <w:pgSz w:w="12240" w:h="15840"/>
      <w:pgMar w:top="792" w:right="893" w:bottom="792" w:left="893" w:header="317"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48675F"/>
        <w:sz w:val="15"/>
      </w:rPr>
      <w:t>EscrowGuide  |  Educational worksheet - not legal, tax, lending, or insurance advice  |  escrowguide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color w:val="174F43"/>
        <w:sz w:val="16"/>
      </w:rPr>
      <w:t>ESCROWGUIDE  /  FREE HOMEOWNER RESOURCE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color w:val="15332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ptos Display" w:hAnsi="Aptos Display"/>
      <w:b/>
      <w:bCs/>
      <w:color w:val="15332D"/>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ptos Display" w:hAnsi="Aptos Display"/>
      <w:b/>
      <w:bCs/>
      <w:color w:val="C57B46"/>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200"/>
      <w:contextualSpacing/>
    </w:pPr>
    <w:rPr>
      <w:rFonts w:asciiTheme="majorHAnsi" w:eastAsiaTheme="majorEastAsia" w:hAnsiTheme="majorHAnsi" w:cstheme="majorBidi" w:ascii="Aptos Display" w:hAnsi="Aptos Display"/>
      <w:b/>
      <w:color w:val="15332D"/>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illLine">
    <w:name w:val="FillLine"/>
    <w:pPr>
      <w:spacing w:after="160"/>
      <w:pBdr>
        <w:bottom w:val="single" w:sz="4" w:space="2" w:color="B9C9C3"/>
      </w:pBdr>
    </w:pPr>
    <w:rPr>
      <w:rFonts w:ascii="Aptos" w:hAnsi="Aptos"/>
      <w:sz w:val="21"/>
    </w:rPr>
  </w:style>
  <w:style w:type="paragraph" w:customStyle="1" w:styleId="Checklist">
    <w:name w:val="Checklist"/>
    <w:pPr>
      <w:spacing w:after="80"/>
      <w:ind w:left="72"/>
    </w:pPr>
    <w:rPr>
      <w:rFonts w:ascii="Aptos" w:hAnsi="Aptos"/>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