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920"/>
        <w:gridCol w:w="2232"/>
      </w:tblGrid>
      <w:tr>
        <w:tc>
          <w:tcPr>
            <w:tcW w:type="dxa" w:w="5227"/>
            <w:shd w:fill="F6F1E7"/>
            <w:tcBorders>
              <w:top w:val="single" w:sz="0" w:color="F6F1E7"/>
              <w:left w:val="single" w:sz="0" w:color="F6F1E7"/>
              <w:bottom w:val="single" w:sz="0" w:color="F6F1E7"/>
              <w:right w:val="single" w:sz="0" w:color="F6F1E7"/>
              <w:insideH w:val="single" w:sz="0" w:color="F6F1E7"/>
              <w:insideV w:val="single" w:sz="0" w:color="F6F1E7"/>
            </w:tcBorders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color w:val="C57B46"/>
                <w:sz w:val="17"/>
              </w:rPr>
              <w:t>MORTGAGE INSURANCE</w:t>
            </w:r>
          </w:p>
          <w:p>
            <w:pPr>
              <w:spacing w:after="0"/>
            </w:pPr>
            <w:r>
              <w:rPr>
                <w:rFonts w:ascii="Aptos Display" w:hAnsi="Aptos Display"/>
                <w:b/>
                <w:color w:val="15332D"/>
                <w:sz w:val="46"/>
              </w:rPr>
              <w:t>PMI Cancellation Request Prep Worksheet</w:t>
            </w:r>
          </w:p>
        </w:tc>
        <w:tc>
          <w:tcPr>
            <w:tcW w:type="dxa" w:w="5227"/>
            <w:shd w:fill="174F43"/>
            <w:tcBorders>
              <w:top w:val="single" w:sz="0" w:color="F6F1E7"/>
              <w:left w:val="single" w:sz="0" w:color="F6F1E7"/>
              <w:bottom w:val="single" w:sz="0" w:color="F6F1E7"/>
              <w:right w:val="single" w:sz="0" w:color="F6F1E7"/>
              <w:insideH w:val="single" w:sz="0" w:color="F6F1E7"/>
              <w:insideV w:val="single" w:sz="0" w:color="F6F1E7"/>
            </w:tcBorders>
            <w:vAlign w:val="center"/>
          </w:tcPr>
          <w:p>
            <w:pPr>
              <w:jc w:val="center"/>
            </w:pPr>
            <w:r>
              <w:rPr>
                <w:rFonts w:ascii="Aptos Display" w:hAnsi="Aptos Display"/>
                <w:b/>
                <w:color w:val="FFFFFF"/>
                <w:sz w:val="56"/>
              </w:rPr>
              <w:t>15</w:t>
            </w:r>
          </w:p>
          <w:p>
            <w:pPr>
              <w:jc w:val="center"/>
            </w:pPr>
            <w:r>
              <w:rPr>
                <w:rFonts w:ascii="Aptos" w:hAnsi="Aptos"/>
                <w:b/>
                <w:color w:val="DCEAE6"/>
                <w:sz w:val="15"/>
              </w:rPr>
              <w:t>PREPARE PMI INQUIRY</w:t>
            </w:r>
          </w:p>
        </w:tc>
      </w:tr>
    </w:tbl>
    <w:p>
      <w:pPr>
        <w:spacing w:before="160" w:after="120"/>
      </w:pPr>
      <w:r>
        <w:rPr>
          <w:color w:val="48675F"/>
          <w:sz w:val="21"/>
        </w:rPr>
        <w:t>Organize the loan dates, balance, payment history, and property-value questions relevant to a borrower-requested PMI cancellation inquiry. PMI and escrow are separate payment components.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184"/>
        <w:gridCol w:w="4968"/>
      </w:tblGrid>
      <w:tr>
        <w:tc>
          <w:tcPr>
            <w:tcW w:type="dxa" w:w="5227"/>
            <w:shd w:fill="FFFDF9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</w:tcPr>
          <w:p>
            <w:r>
              <w:rPr>
                <w:b/>
                <w:color w:val="C57B46"/>
                <w:sz w:val="16"/>
              </w:rPr>
              <w:t>WHEN TO USE</w:t>
            </w:r>
          </w:p>
          <w:p>
            <w:pPr>
              <w:spacing w:after="0"/>
            </w:pPr>
            <w:r>
              <w:rPr>
                <w:sz w:val="18"/>
              </w:rPr>
              <w:t>Organize the loan dates, balance, payment history, and property-value questions relevant to a borrower-requested PMI cancellation inquiry. PMI and escrow are separate payment components.</w:t>
            </w:r>
          </w:p>
        </w:tc>
        <w:tc>
          <w:tcPr>
            <w:tcW w:type="dxa" w:w="5227"/>
            <w:shd w:fill="FFFDF9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</w:tcPr>
          <w:p>
            <w:r>
              <w:rPr>
                <w:b/>
                <w:color w:val="C57B46"/>
                <w:sz w:val="16"/>
              </w:rPr>
              <w:t>FEDERAL / PRIMARY REFERENCE</w:t>
            </w:r>
          </w:p>
          <w:p>
            <w:pPr>
              <w:spacing w:after="0"/>
            </w:pPr>
            <w:r>
              <w:rPr>
                <w:sz w:val="18"/>
              </w:rPr>
              <w:t>Homeowners Protection Act / CFPB consumer guidance</w:t>
            </w:r>
          </w:p>
        </w:tc>
      </w:tr>
    </w:tbl>
    <w:p>
      <w:pPr>
        <w:pStyle w:val="Heading1"/>
      </w:pPr>
      <w:r>
        <w:t>Federal baseline to check</w:t>
      </w:r>
    </w:p>
    <w:p>
      <w:pPr>
        <w:pStyle w:val="Checklist"/>
      </w:pPr>
      <w:r>
        <w:rPr>
          <w:b/>
        </w:rPr>
        <w:t xml:space="preserve">☐ </w:t>
      </w:r>
      <w:r>
        <w:t>The federal Homeowners Protection Act rules described here generally concern PMI on qualifying conventional mortgages for a single-family principal residence; FHA/VA mortgage insurance follows different rules.</w:t>
      </w:r>
    </w:p>
    <w:p>
      <w:pPr>
        <w:pStyle w:val="Checklist"/>
      </w:pPr>
      <w:r>
        <w:rPr>
          <w:b/>
        </w:rPr>
        <w:t xml:space="preserve">☐ </w:t>
      </w:r>
      <w:r>
        <w:t>Borrower-requested cancellation can generally be requested when principal is scheduled to reach 80% of original value, or earlier after extra principal payments reach that level, if the borrower satisfies the statutory conditions.</w:t>
      </w:r>
    </w:p>
    <w:p>
      <w:pPr>
        <w:pStyle w:val="Checklist"/>
      </w:pPr>
      <w:r>
        <w:rPr>
          <w:b/>
        </w:rPr>
        <w:t xml:space="preserve">☐ </w:t>
      </w:r>
      <w:r>
        <w:t>Automatic termination generally occurs when principal is scheduled to reach 78% of original value if the borrower is current; a separate final-termination rule applies at the midpoint of the amortization schedule.</w:t>
      </w:r>
    </w:p>
    <w:p>
      <w:pPr>
        <w:spacing w:before="160" w:after="80"/>
      </w:pPr>
      <w:r>
        <w:rPr>
          <w:rFonts w:ascii="Aptos" w:hAnsi="Aptos"/>
          <w:b/>
          <w:color w:val="C57B46"/>
          <w:sz w:val="17"/>
        </w:rPr>
        <w:t>BORROWER AND LOAN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227"/>
        <w:gridCol w:w="5227"/>
      </w:tblGrid>
      <w:tr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Borrower name</w:t>
              <w:br/>
            </w:r>
            <w:r>
              <w:rPr>
                <w:sz w:val="20"/>
              </w:rPr>
              <w:t>________________________________</w:t>
            </w:r>
          </w:p>
        </w:tc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Property address</w:t>
              <w:br/>
            </w:r>
            <w:r>
              <w:rPr>
                <w:sz w:val="20"/>
              </w:rPr>
              <w:t>________________________________</w:t>
            </w:r>
          </w:p>
        </w:tc>
      </w:tr>
      <w:tr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Loan/account number</w:t>
              <w:br/>
            </w:r>
            <w:r>
              <w:rPr>
                <w:sz w:val="20"/>
              </w:rPr>
              <w:t>________________________________</w:t>
            </w:r>
          </w:p>
        </w:tc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Servicer name</w:t>
              <w:br/>
            </w:r>
            <w:r>
              <w:rPr>
                <w:sz w:val="20"/>
              </w:rPr>
              <w:t>________________________________</w:t>
            </w:r>
          </w:p>
        </w:tc>
      </w:tr>
    </w:tbl>
    <w:p>
      <w:pPr>
        <w:pStyle w:val="Heading2"/>
      </w:pPr>
      <w:r>
        <w:t>Loan milestones</w:t>
      </w:r>
    </w:p>
    <w:p>
      <w:pPr>
        <w:pStyle w:val="FillLine"/>
      </w:pPr>
      <w:r>
        <w:rPr>
          <w:color w:val="15332D"/>
          <w:sz w:val="21"/>
        </w:rPr>
        <w:t>Loan type: Conventional / FHA / VA / USDA / Other / Unsure   Principal residence? Yes / No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2"/>
      </w:pPr>
      <w:r>
        <w:t>Balance check</w:t>
      </w:r>
    </w:p>
    <w:p>
      <w:pPr>
        <w:pStyle w:val="FillLine"/>
      </w:pPr>
      <w:r>
        <w:rPr>
          <w:color w:val="15332D"/>
          <w:sz w:val="21"/>
        </w:rPr>
        <w:t>Original value: $__________   Current principal: $__________   Current PMI: $__________/mo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2"/>
      </w:pPr>
      <w:r>
        <w:t>Payment history</w:t>
      </w:r>
    </w:p>
    <w:p>
      <w:pPr>
        <w:pStyle w:val="FillLine"/>
      </w:pPr>
      <w:r>
        <w:rPr>
          <w:color w:val="15332D"/>
          <w:sz w:val="21"/>
        </w:rPr>
        <w:t>Current on payments? Yes / No   Good payment history? Yes / No / Unsure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2"/>
      </w:pPr>
      <w:r>
        <w:t>Property value / subordinate liens</w:t>
      </w:r>
    </w:p>
    <w:p>
      <w:pPr>
        <w:pStyle w:val="FillLine"/>
      </w:pPr>
      <w:r>
        <w:rPr>
          <w:color w:val="15332D"/>
          <w:sz w:val="21"/>
        </w:rPr>
        <w:t>Value evidence requested? ____________________   Junior lien? Yes / No / Unsure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2"/>
      </w:pPr>
      <w:r>
        <w:t>Questions for servicer</w:t>
      </w:r>
    </w:p>
    <w:p>
      <w:pPr>
        <w:pStyle w:val="FillLine"/>
      </w:pPr>
      <w:r>
        <w:rPr>
          <w:color w:val="15332D"/>
          <w:sz w:val="21"/>
        </w:rPr>
        <w:t>Scheduled 80%: __________   Scheduled 78%: __________   Midpoint: __________   Next action: ____________________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1"/>
      </w:pPr>
      <w:r>
        <w:t>Attachment checklist</w:t>
      </w:r>
    </w:p>
    <w:p>
      <w:pPr>
        <w:pStyle w:val="Checklist"/>
      </w:pPr>
      <w:r>
        <w:rPr>
          <w:b/>
        </w:rPr>
        <w:t xml:space="preserve">☐ </w:t>
      </w:r>
      <w:r>
        <w:t>Mortgage statement</w:t>
      </w:r>
    </w:p>
    <w:p>
      <w:pPr>
        <w:pStyle w:val="Checklist"/>
      </w:pPr>
      <w:r>
        <w:rPr>
          <w:b/>
        </w:rPr>
        <w:t xml:space="preserve">☐ </w:t>
      </w:r>
      <w:r>
        <w:t>Original amortization schedule or closing disclosure if available</w:t>
      </w:r>
    </w:p>
    <w:p>
      <w:pPr>
        <w:pStyle w:val="Checklist"/>
      </w:pPr>
      <w:r>
        <w:rPr>
          <w:b/>
        </w:rPr>
        <w:t xml:space="preserve">☐ </w:t>
      </w:r>
      <w:r>
        <w:t>Servicer PMI cancellation instructions</w:t>
      </w:r>
    </w:p>
    <w:p>
      <w:pPr>
        <w:pStyle w:val="Checklist"/>
      </w:pPr>
      <w:r>
        <w:rPr>
          <w:b/>
        </w:rPr>
        <w:t xml:space="preserve">☐ </w:t>
      </w:r>
      <w:r>
        <w:t>Copy of this completed template retained for your records</w:t>
      </w:r>
    </w:p>
    <w:p>
      <w:pPr>
        <w:pStyle w:val="Checklist"/>
      </w:pPr>
      <w:r>
        <w:rPr>
          <w:b/>
        </w:rPr>
        <w:t xml:space="preserve">☐ </w:t>
      </w:r>
      <w:r>
        <w:t>Mailing / delivery confirmation retained if sent formally</w:t>
      </w:r>
    </w:p>
    <w:p>
      <w:pPr>
        <w:pStyle w:val="Heading1"/>
      </w:pPr>
      <w:r>
        <w:t>Use notes</w:t>
      </w:r>
    </w:p>
    <w:p>
      <w:pPr>
        <w:pStyle w:val="Checklist"/>
      </w:pPr>
      <w:r>
        <w:rPr>
          <w:b/>
        </w:rPr>
        <w:t xml:space="preserve">☐ </w:t>
      </w:r>
      <w:r>
        <w:t>Do not confuse PMI with escrow. PMI can end while the tax-and-insurance escrow account remains unchanged.</w:t>
      </w:r>
    </w:p>
    <w:p>
      <w:pPr>
        <w:pStyle w:val="Checklist"/>
      </w:pPr>
      <w:r>
        <w:rPr>
          <w:b/>
        </w:rPr>
        <w:t xml:space="preserve">☐ </w:t>
      </w:r>
      <w:r>
        <w:t>For borrower-requested cancellation, use the servicer's written process and keep evidence of the request; the servicer may require evidence that property value has not declined below original value.</w:t>
      </w:r>
    </w:p>
    <w:p>
      <w:pPr>
        <w:pStyle w:val="Checklist"/>
      </w:pPr>
      <w:r>
        <w:rPr>
          <w:b/>
        </w:rPr>
        <w:t xml:space="preserve">☐ </w:t>
      </w:r>
      <w:r>
        <w:t>For automatic 78% termination, the test is based on the scheduled amortization date, not a borrower-ordered current appraisal; being current still matters.</w:t>
      </w:r>
    </w:p>
    <w:p>
      <w:pPr>
        <w:pStyle w:val="Checklist"/>
      </w:pPr>
      <w:r>
        <w:rPr>
          <w:b/>
        </w:rPr>
        <w:t xml:space="preserve">☐ </w:t>
      </w:r>
      <w:r>
        <w:t>Keep a complete copy of the completed template and supporting records; send copies rather than irreplaceable originals when copies are sufficient.</w:t>
      </w:r>
    </w:p>
    <w:p>
      <w:pPr>
        <w:spacing w:before="180"/>
      </w:pPr>
      <w:r>
        <w:rPr>
          <w:b/>
          <w:color w:val="C57B46"/>
          <w:sz w:val="16"/>
        </w:rPr>
        <w:t>PRIMARY SOURCES TO CHECK</w:t>
      </w:r>
    </w:p>
    <w:p>
      <w:r>
        <w:rPr>
          <w:color w:val="48675F"/>
          <w:sz w:val="17"/>
        </w:rPr>
        <w:t>Homeowners Protection Act / CFPB consumer guidance</w:t>
      </w:r>
    </w:p>
    <w:p>
      <w:pPr>
        <w:keepNext w:val="0"/>
        <w:spacing w:after="0"/>
      </w:pPr>
      <w:r>
        <w:rPr>
          <w:color w:val="48675F"/>
          <w:sz w:val="13"/>
        </w:rPr>
        <w:t>Official links: https://www.consumerfinance.gov/ask-cfpb/when-can-i-remove-private-mortgage-insurance-pmi-from-my-loan-en-202/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792" w:right="893" w:bottom="792" w:left="893" w:header="317" w:footer="36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48675F"/>
        <w:sz w:val="15"/>
      </w:rPr>
      <w:t>EscrowGuide  |  Educational worksheet - not legal, tax, lending, or insurance advice  |  escrowguide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/>
        <w:b/>
        <w:color w:val="174F43"/>
        <w:sz w:val="16"/>
      </w:rPr>
      <w:t>ESCROWGUIDE  /  FREE HOMEOWNER RESOURCE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ptos" w:hAnsi="Aptos"/>
      <w:color w:val="15332D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5332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C57B46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 w:before="200"/>
      <w:contextualSpacing/>
    </w:pPr>
    <w:rPr>
      <w:rFonts w:asciiTheme="majorHAnsi" w:eastAsiaTheme="majorEastAsia" w:hAnsiTheme="majorHAnsi" w:cstheme="majorBidi" w:ascii="Aptos Display" w:hAnsi="Aptos Display"/>
      <w:b/>
      <w:color w:val="15332D"/>
      <w:spacing w:val="5"/>
      <w:kern w:val="28"/>
      <w:sz w:val="5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FillLine">
    <w:name w:val="FillLine"/>
    <w:pPr>
      <w:spacing w:after="160"/>
      <w:pBdr>
        <w:bottom w:val="single" w:sz="4" w:space="2" w:color="B9C9C3"/>
      </w:pBdr>
    </w:pPr>
    <w:rPr>
      <w:rFonts w:ascii="Aptos" w:hAnsi="Aptos"/>
      <w:sz w:val="21"/>
    </w:rPr>
  </w:style>
  <w:style w:type="paragraph" w:customStyle="1" w:styleId="Checklist">
    <w:name w:val="Checklist"/>
    <w:pPr>
      <w:spacing w:after="80"/>
      <w:ind w:left="72"/>
    </w:pPr>
    <w:rPr>
      <w:rFonts w:ascii="Aptos" w:hAnsi="Aptos"/>
      <w:sz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