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920"/>
        <w:gridCol w:w="2232"/>
      </w:tblGrid>
      <w:tr>
        <w:tc>
          <w:tcPr>
            <w:tcW w:type="dxa" w:w="5227"/>
            <w:shd w:fill="F6F1E7"/>
            <w:tcBorders>
              <w:top w:val="single" w:sz="0" w:color="F6F1E7"/>
              <w:left w:val="single" w:sz="0" w:color="F6F1E7"/>
              <w:bottom w:val="single" w:sz="0" w:color="F6F1E7"/>
              <w:right w:val="single" w:sz="0" w:color="F6F1E7"/>
              <w:insideH w:val="single" w:sz="0" w:color="F6F1E7"/>
              <w:insideV w:val="single" w:sz="0" w:color="F6F1E7"/>
            </w:tcBorders>
            <w:vAlign w:val="center"/>
          </w:tcPr>
          <w:p>
            <w:pPr>
              <w:spacing w:after="0"/>
            </w:pPr>
            <w:r>
              <w:rPr>
                <w:rFonts w:ascii="Aptos" w:hAnsi="Aptos"/>
                <w:b/>
                <w:color w:val="C57B46"/>
                <w:sz w:val="17"/>
              </w:rPr>
              <w:t>HARDSHIP WORKSHEET</w:t>
            </w:r>
          </w:p>
          <w:p>
            <w:pPr>
              <w:spacing w:after="0"/>
            </w:pPr>
            <w:r>
              <w:rPr>
                <w:rFonts w:ascii="Aptos Display" w:hAnsi="Aptos Display"/>
                <w:b/>
                <w:color w:val="15332D"/>
                <w:sz w:val="46"/>
              </w:rPr>
              <w:t>Post-Forbearance Escrow Reconciliation Worksheet</w:t>
            </w:r>
          </w:p>
        </w:tc>
        <w:tc>
          <w:tcPr>
            <w:tcW w:type="dxa" w:w="5227"/>
            <w:shd w:fill="174F43"/>
            <w:tcBorders>
              <w:top w:val="single" w:sz="0" w:color="F6F1E7"/>
              <w:left w:val="single" w:sz="0" w:color="F6F1E7"/>
              <w:bottom w:val="single" w:sz="0" w:color="F6F1E7"/>
              <w:right w:val="single" w:sz="0" w:color="F6F1E7"/>
              <w:insideH w:val="single" w:sz="0" w:color="F6F1E7"/>
              <w:insideV w:val="single" w:sz="0" w:color="F6F1E7"/>
            </w:tcBorders>
            <w:vAlign w:val="center"/>
          </w:tcPr>
          <w:p>
            <w:pPr>
              <w:jc w:val="center"/>
            </w:pPr>
            <w:r>
              <w:rPr>
                <w:rFonts w:ascii="Aptos Display" w:hAnsi="Aptos Display"/>
                <w:b/>
                <w:color w:val="FFFFFF"/>
                <w:sz w:val="56"/>
              </w:rPr>
              <w:t>18</w:t>
            </w:r>
          </w:p>
          <w:p>
            <w:pPr>
              <w:jc w:val="center"/>
            </w:pPr>
            <w:r>
              <w:rPr>
                <w:rFonts w:ascii="Aptos" w:hAnsi="Aptos"/>
                <w:b/>
                <w:color w:val="DCEAE6"/>
                <w:sz w:val="15"/>
              </w:rPr>
              <w:t>RECONCILE HARDSHIP PERIOD</w:t>
            </w:r>
          </w:p>
        </w:tc>
      </w:tr>
    </w:tbl>
    <w:p>
      <w:pPr>
        <w:spacing w:before="160" w:after="120"/>
      </w:pPr>
      <w:r>
        <w:rPr>
          <w:color w:val="48675F"/>
          <w:sz w:val="21"/>
        </w:rPr>
        <w:t>Track taxes and insurance paid during a forbearance period and reconcile those disbursements with later escrow shortage or deficiency treatment.</w:t>
      </w:r>
    </w:p>
    <w:tbl>
      <w:tblPr>
        <w:tblW w:type="auto" w:w="0"/>
        <w:tblLayout w:type="fixed"/>
        <w:tblLook w:firstColumn="1" w:firstRow="1" w:lastColumn="0" w:lastRow="0" w:noHBand="0" w:noVBand="1" w:val="04A0"/>
      </w:tblPr>
      <w:tblGrid>
        <w:gridCol w:w="5184"/>
        <w:gridCol w:w="4968"/>
      </w:tblGrid>
      <w:tr>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WHEN TO USE</w:t>
            </w:r>
          </w:p>
          <w:p>
            <w:pPr>
              <w:spacing w:after="0"/>
            </w:pPr>
            <w:r>
              <w:rPr>
                <w:sz w:val="18"/>
              </w:rPr>
              <w:t>Track taxes and insurance paid during a forbearance period and reconcile those disbursements with later escrow shortage or deficiency treatment.</w:t>
            </w:r>
          </w:p>
        </w:tc>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FEDERAL / PRIMARY REFERENCE</w:t>
            </w:r>
          </w:p>
          <w:p>
            <w:pPr>
              <w:spacing w:after="0"/>
            </w:pPr>
            <w:r>
              <w:rPr>
                <w:sz w:val="18"/>
              </w:rPr>
              <w:t>12 CFR § 1024.17 · 12 CFR § 1024.34</w:t>
            </w:r>
          </w:p>
        </w:tc>
      </w:tr>
    </w:tbl>
    <w:p>
      <w:pPr>
        <w:pStyle w:val="Heading1"/>
      </w:pPr>
      <w:r>
        <w:t>Federal baseline to check</w:t>
      </w:r>
    </w:p>
    <w:p>
      <w:pPr>
        <w:pStyle w:val="Checklist"/>
      </w:pPr>
      <w:r>
        <w:rPr>
          <w:b/>
        </w:rPr>
        <w:t xml:space="preserve">☐ </w:t>
      </w:r>
      <w:r>
        <w:t>Tax and insurance disbursements can continue during a hardship period even when the borrower is not making the normal monthly payment.</w:t>
      </w:r>
    </w:p>
    <w:p>
      <w:pPr>
        <w:pStyle w:val="Checklist"/>
      </w:pPr>
      <w:r>
        <w:rPr>
          <w:b/>
        </w:rPr>
        <w:t xml:space="preserve">☐ </w:t>
      </w:r>
      <w:r>
        <w:t>If the borrower is more than 30 days overdue when the servicer performs the escrow analysis, Regulation X provides an annual-statement exemption; foreclosure and bankruptcy can also trigger the exemption.</w:t>
      </w:r>
    </w:p>
    <w:p>
      <w:pPr>
        <w:pStyle w:val="Checklist"/>
      </w:pPr>
      <w:r>
        <w:rPr>
          <w:b/>
        </w:rPr>
        <w:t xml:space="preserve">☐ </w:t>
      </w:r>
      <w:r>
        <w:t>If an annual statement was omitted under that exemption and the loan later becomes current, the servicer must provide account history since the last annual statement within 90 days of the date the account became current.</w:t>
      </w:r>
    </w:p>
    <w:p>
      <w:pPr>
        <w:spacing w:before="160" w:after="80"/>
      </w:pPr>
      <w:r>
        <w:rPr>
          <w:rFonts w:ascii="Aptos" w:hAnsi="Aptos"/>
          <w:b/>
          <w:color w:val="C57B46"/>
          <w:sz w:val="17"/>
        </w:rPr>
        <w:t>BORROWER AND LOAN</w:t>
      </w:r>
    </w:p>
    <w:tbl>
      <w:tblPr>
        <w:tblW w:type="auto" w:w="0"/>
        <w:tblLayout w:type="autofit"/>
        <w:tblLook w:firstColumn="1" w:firstRow="1" w:lastColumn="0" w:lastRow="0" w:noHBand="0" w:noVBand="1" w:val="04A0"/>
      </w:tblPr>
      <w:tblGrid>
        <w:gridCol w:w="5227"/>
        <w:gridCol w:w="5227"/>
      </w:tblGrid>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Borrower name</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Property address</w:t>
              <w:br/>
            </w:r>
            <w:r>
              <w:rPr>
                <w:sz w:val="20"/>
              </w:rPr>
              <w:t>________________________________</w:t>
            </w:r>
          </w:p>
        </w:tc>
      </w:tr>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Loan/account number</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Servicer name</w:t>
              <w:br/>
            </w:r>
            <w:r>
              <w:rPr>
                <w:sz w:val="20"/>
              </w:rPr>
              <w:t>________________________________</w:t>
            </w:r>
          </w:p>
        </w:tc>
      </w:tr>
    </w:tbl>
    <w:p>
      <w:pPr>
        <w:pStyle w:val="Heading2"/>
      </w:pPr>
      <w:r>
        <w:t>Forbearance timeline</w:t>
      </w:r>
    </w:p>
    <w:p>
      <w:pPr>
        <w:pStyle w:val="FillLine"/>
      </w:pPr>
      <w:r>
        <w:rPr>
          <w:color w:val="15332D"/>
          <w:sz w:val="21"/>
        </w:rPr>
        <w:t>Forbearance start: __________   End: __________   Date account became current (if applicable): __________</w:t>
      </w:r>
    </w:p>
    <w:p>
      <w:pPr>
        <w:pStyle w:val="FillLine"/>
      </w:pPr>
      <w:r>
        <w:rPr>
          <w:color w:val="15332D"/>
          <w:sz w:val="21"/>
        </w:rPr>
        <w:t>Notes: ______________________________________________________________________________</w:t>
      </w:r>
    </w:p>
    <w:p>
      <w:pPr>
        <w:pStyle w:val="Heading2"/>
      </w:pPr>
      <w:r>
        <w:t>Escrow deposits during period</w:t>
      </w:r>
    </w:p>
    <w:p>
      <w:pPr>
        <w:pStyle w:val="FillLine"/>
      </w:pPr>
      <w:r>
        <w:rPr>
          <w:color w:val="15332D"/>
          <w:sz w:val="21"/>
        </w:rPr>
        <w:t>Borrower escrow deposits during review period: $__________</w:t>
      </w:r>
    </w:p>
    <w:p>
      <w:pPr>
        <w:pStyle w:val="FillLine"/>
      </w:pPr>
      <w:r>
        <w:rPr>
          <w:color w:val="15332D"/>
          <w:sz w:val="21"/>
        </w:rPr>
        <w:t>Notes: ______________________________________________________________________________</w:t>
      </w:r>
    </w:p>
    <w:p>
      <w:pPr>
        <w:pStyle w:val="Heading2"/>
      </w:pPr>
      <w:r>
        <w:t>Taxes/insurance paid during period</w:t>
      </w:r>
    </w:p>
    <w:p>
      <w:pPr>
        <w:pStyle w:val="FillLine"/>
      </w:pPr>
      <w:r>
        <w:rPr>
          <w:color w:val="15332D"/>
          <w:sz w:val="21"/>
        </w:rPr>
        <w:t>Taxes paid: $__________   Insurance paid: $__________   Other escrow disbursement: $__________</w:t>
      </w:r>
    </w:p>
    <w:p>
      <w:pPr>
        <w:pStyle w:val="FillLine"/>
      </w:pPr>
      <w:r>
        <w:rPr>
          <w:color w:val="15332D"/>
          <w:sz w:val="21"/>
        </w:rPr>
        <w:t>Notes: ______________________________________________________________________________</w:t>
      </w:r>
    </w:p>
    <w:p>
      <w:pPr>
        <w:pStyle w:val="Heading2"/>
      </w:pPr>
      <w:r>
        <w:t>Post-forbearance analysis</w:t>
      </w:r>
    </w:p>
    <w:p>
      <w:pPr>
        <w:pStyle w:val="FillLine"/>
      </w:pPr>
      <w:r>
        <w:rPr>
          <w:color w:val="15332D"/>
          <w:sz w:val="21"/>
        </w:rPr>
        <w:t>Post-hardship analysis date: __________   New recurring escrow: $__________/mo</w:t>
      </w:r>
    </w:p>
    <w:p>
      <w:pPr>
        <w:pStyle w:val="FillLine"/>
      </w:pPr>
      <w:r>
        <w:rPr>
          <w:color w:val="15332D"/>
          <w:sz w:val="21"/>
        </w:rPr>
        <w:t>Notes: ______________________________________________________________________________</w:t>
      </w:r>
    </w:p>
    <w:p>
      <w:pPr>
        <w:pStyle w:val="Heading2"/>
      </w:pPr>
      <w:r>
        <w:t>Balance to explain</w:t>
      </w:r>
    </w:p>
    <w:p>
      <w:pPr>
        <w:pStyle w:val="FillLine"/>
      </w:pPr>
      <w:r>
        <w:rPr>
          <w:color w:val="15332D"/>
          <w:sz w:val="21"/>
        </w:rPr>
        <w:t>Shortage / deficiency: $__________   Repayment treatment: ________________________</w:t>
      </w:r>
    </w:p>
    <w:p>
      <w:pPr>
        <w:pStyle w:val="FillLine"/>
      </w:pPr>
      <w:r>
        <w:rPr>
          <w:color w:val="15332D"/>
          <w:sz w:val="21"/>
        </w:rPr>
        <w:t>Notes: ______________________________________________________________________________</w:t>
      </w:r>
    </w:p>
    <w:p>
      <w:pPr>
        <w:pStyle w:val="Heading1"/>
      </w:pPr>
      <w:r>
        <w:t>Attachment checklist</w:t>
      </w:r>
    </w:p>
    <w:p>
      <w:pPr>
        <w:pStyle w:val="Checklist"/>
      </w:pPr>
      <w:r>
        <w:rPr>
          <w:b/>
        </w:rPr>
        <w:t xml:space="preserve">☐ </w:t>
      </w:r>
      <w:r>
        <w:t>Forbearance agreement/notices</w:t>
      </w:r>
    </w:p>
    <w:p>
      <w:pPr>
        <w:pStyle w:val="Checklist"/>
      </w:pPr>
      <w:r>
        <w:rPr>
          <w:b/>
        </w:rPr>
        <w:t xml:space="preserve">☐ </w:t>
      </w:r>
      <w:r>
        <w:t>Escrow history during hardship period</w:t>
      </w:r>
    </w:p>
    <w:p>
      <w:pPr>
        <w:pStyle w:val="Checklist"/>
      </w:pPr>
      <w:r>
        <w:rPr>
          <w:b/>
        </w:rPr>
        <w:t xml:space="preserve">☐ </w:t>
      </w:r>
      <w:r>
        <w:t>Tax and insurance bills</w:t>
      </w:r>
    </w:p>
    <w:p>
      <w:pPr>
        <w:pStyle w:val="Checklist"/>
      </w:pPr>
      <w:r>
        <w:rPr>
          <w:b/>
        </w:rPr>
        <w:t xml:space="preserve">☐ </w:t>
      </w:r>
      <w:r>
        <w:t>Post-forbearance analysis</w:t>
      </w:r>
    </w:p>
    <w:p>
      <w:pPr>
        <w:pStyle w:val="Checklist"/>
      </w:pPr>
      <w:r>
        <w:rPr>
          <w:b/>
        </w:rPr>
        <w:t xml:space="preserve">☐ </w:t>
      </w:r>
      <w:r>
        <w:t>Copy of this completed template retained for your records</w:t>
      </w:r>
    </w:p>
    <w:p>
      <w:pPr>
        <w:pStyle w:val="Checklist"/>
      </w:pPr>
      <w:r>
        <w:rPr>
          <w:b/>
        </w:rPr>
        <w:t xml:space="preserve">☐ </w:t>
      </w:r>
      <w:r>
        <w:t>Mailing / delivery confirmation retained if sent formally</w:t>
      </w:r>
    </w:p>
    <w:p>
      <w:pPr>
        <w:pStyle w:val="Heading1"/>
      </w:pPr>
      <w:r>
        <w:t>Use notes</w:t>
      </w:r>
    </w:p>
    <w:p>
      <w:pPr>
        <w:pStyle w:val="Checklist"/>
      </w:pPr>
      <w:r>
        <w:rPr>
          <w:b/>
        </w:rPr>
        <w:t xml:space="preserve">☐ </w:t>
      </w:r>
      <w:r>
        <w:t>Separate missed borrower escrow deposits from actual tax/insurance advances; both can affect the post-forbearance balance but they are different ledger events.</w:t>
      </w:r>
    </w:p>
    <w:p>
      <w:pPr>
        <w:pStyle w:val="Checklist"/>
      </w:pPr>
      <w:r>
        <w:rPr>
          <w:b/>
        </w:rPr>
        <w:t xml:space="preserve">☐ </w:t>
      </w:r>
      <w:r>
        <w:t>Record the date the account became current after hardship, because that date matters for the 90-day account-history requirement when the annual-statement exemption applied.</w:t>
      </w:r>
    </w:p>
    <w:p>
      <w:pPr>
        <w:pStyle w:val="Checklist"/>
      </w:pPr>
      <w:r>
        <w:rPr>
          <w:b/>
        </w:rPr>
        <w:t xml:space="preserve">☐ </w:t>
      </w:r>
      <w:r>
        <w:t>Do not assume the forbearance agreement itself waived escrow shortages or deficiencies unless it expressly says so.</w:t>
      </w:r>
    </w:p>
    <w:p>
      <w:pPr>
        <w:pStyle w:val="Checklist"/>
      </w:pPr>
      <w:r>
        <w:rPr>
          <w:b/>
        </w:rPr>
        <w:t xml:space="preserve">☐ </w:t>
      </w:r>
      <w:r>
        <w:t>Keep a complete copy of the completed template and supporting records; send copies rather than irreplaceable originals when copies are sufficient.</w:t>
      </w:r>
    </w:p>
    <w:p>
      <w:pPr>
        <w:spacing w:before="180"/>
      </w:pPr>
      <w:r>
        <w:rPr>
          <w:b/>
          <w:color w:val="C57B46"/>
          <w:sz w:val="16"/>
        </w:rPr>
        <w:t>PRIMARY SOURCES TO CHECK</w:t>
      </w:r>
    </w:p>
    <w:p>
      <w:r>
        <w:rPr>
          <w:color w:val="48675F"/>
          <w:sz w:val="17"/>
        </w:rPr>
        <w:t>12 CFR § 1024.17 • 12 CFR § 1024.34</w:t>
      </w:r>
    </w:p>
    <w:p>
      <w:pPr>
        <w:keepNext w:val="0"/>
        <w:spacing w:after="0"/>
      </w:pPr>
      <w:r>
        <w:rPr>
          <w:color w:val="48675F"/>
          <w:sz w:val="13"/>
        </w:rPr>
        <w:t>Official links: https://www.consumerfinance.gov/rules-policy/regulations/1024/17/  |  https://www.consumerfinance.gov/rules-policy/regulations/1024/34/</w:t>
      </w:r>
    </w:p>
    <w:sectPr w:rsidR="00FC693F" w:rsidRPr="0006063C" w:rsidSect="00034616">
      <w:headerReference w:type="default" r:id="rId9"/>
      <w:footerReference w:type="default" r:id="rId10"/>
      <w:pgSz w:w="12240" w:h="15840"/>
      <w:pgMar w:top="792" w:right="893" w:bottom="792" w:left="893"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8675F"/>
        <w:sz w:val="15"/>
      </w:rPr>
      <w:t>EscrowGuide  |  Educational worksheet - not legal, tax, lending, or insurance advice  |  escrowguide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74F43"/>
        <w:sz w:val="16"/>
      </w:rPr>
      <w:t>ESCROWGUIDE  /  FREE HOMEOWNER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53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32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C57B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5332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llLine">
    <w:name w:val="FillLine"/>
    <w:pPr>
      <w:spacing w:after="160"/>
      <w:pBdr>
        <w:bottom w:val="single" w:sz="4" w:space="2" w:color="B9C9C3"/>
      </w:pBdr>
    </w:pPr>
    <w:rPr>
      <w:rFonts w:ascii="Aptos" w:hAnsi="Aptos"/>
      <w:sz w:val="21"/>
    </w:rPr>
  </w:style>
  <w:style w:type="paragraph" w:customStyle="1" w:styleId="Checklist">
    <w:name w:val="Checklist"/>
    <w:pPr>
      <w:spacing w:after="80"/>
      <w:ind w:left="72"/>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