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920"/>
        <w:gridCol w:w="2232"/>
      </w:tblGrid>
      <w:tr>
        <w:tc>
          <w:tcPr>
            <w:tcW w:type="dxa" w:w="5227"/>
            <w:shd w:fill="F6F1E7"/>
            <w:tcBorders>
              <w:top w:val="single" w:sz="0" w:color="F6F1E7"/>
              <w:left w:val="single" w:sz="0" w:color="F6F1E7"/>
              <w:bottom w:val="single" w:sz="0" w:color="F6F1E7"/>
              <w:right w:val="single" w:sz="0" w:color="F6F1E7"/>
              <w:insideH w:val="single" w:sz="0" w:color="F6F1E7"/>
              <w:insideV w:val="single" w:sz="0" w:color="F6F1E7"/>
            </w:tcBorders>
            <w:vAlign w:val="center"/>
          </w:tcPr>
          <w:p>
            <w:pPr>
              <w:spacing w:after="0"/>
            </w:pPr>
            <w:r>
              <w:rPr>
                <w:rFonts w:ascii="Aptos" w:hAnsi="Aptos"/>
                <w:b/>
                <w:color w:val="C57B46"/>
                <w:sz w:val="17"/>
              </w:rPr>
              <w:t>CHECKLIST</w:t>
            </w:r>
          </w:p>
          <w:p>
            <w:pPr>
              <w:spacing w:after="0"/>
            </w:pPr>
            <w:r>
              <w:rPr>
                <w:rFonts w:ascii="Aptos Display" w:hAnsi="Aptos Display"/>
                <w:b/>
                <w:color w:val="15332D"/>
                <w:sz w:val="46"/>
              </w:rPr>
              <w:t>Property Tax Escrow Verification Checklist</w:t>
            </w:r>
          </w:p>
        </w:tc>
        <w:tc>
          <w:tcPr>
            <w:tcW w:type="dxa" w:w="5227"/>
            <w:shd w:fill="174F43"/>
            <w:tcBorders>
              <w:top w:val="single" w:sz="0" w:color="F6F1E7"/>
              <w:left w:val="single" w:sz="0" w:color="F6F1E7"/>
              <w:bottom w:val="single" w:sz="0" w:color="F6F1E7"/>
              <w:right w:val="single" w:sz="0" w:color="F6F1E7"/>
              <w:insideH w:val="single" w:sz="0" w:color="F6F1E7"/>
              <w:insideV w:val="single" w:sz="0" w:color="F6F1E7"/>
            </w:tcBorders>
            <w:vAlign w:val="center"/>
          </w:tcPr>
          <w:p>
            <w:pPr>
              <w:jc w:val="center"/>
            </w:pPr>
            <w:r>
              <w:rPr>
                <w:rFonts w:ascii="Aptos Display" w:hAnsi="Aptos Display"/>
                <w:b/>
                <w:color w:val="FFFFFF"/>
                <w:sz w:val="56"/>
              </w:rPr>
              <w:t>05</w:t>
            </w:r>
          </w:p>
          <w:p>
            <w:pPr>
              <w:jc w:val="center"/>
            </w:pPr>
            <w:r>
              <w:rPr>
                <w:rFonts w:ascii="Aptos" w:hAnsi="Aptos"/>
                <w:b/>
                <w:color w:val="DCEAE6"/>
                <w:sz w:val="15"/>
              </w:rPr>
              <w:t>VERIFY TAX</w:t>
            </w:r>
          </w:p>
        </w:tc>
      </w:tr>
    </w:tbl>
    <w:p>
      <w:pPr>
        <w:spacing w:before="160" w:after="120"/>
      </w:pPr>
      <w:r>
        <w:rPr>
          <w:color w:val="48675F"/>
          <w:sz w:val="21"/>
        </w:rPr>
        <w:t>Compare the taxing authority’s bill with the servicer’s projected and paid tax amounts before attributing a payment increase to escrow.</w:t>
      </w:r>
    </w:p>
    <w:tbl>
      <w:tblPr>
        <w:tblW w:type="auto" w:w="0"/>
        <w:tblLayout w:type="fixed"/>
        <w:tblLook w:firstColumn="1" w:firstRow="1" w:lastColumn="0" w:lastRow="0" w:noHBand="0" w:noVBand="1" w:val="04A0"/>
      </w:tblPr>
      <w:tblGrid>
        <w:gridCol w:w="5184"/>
        <w:gridCol w:w="4968"/>
      </w:tblGrid>
      <w:tr>
        <w:tc>
          <w:tcPr>
            <w:tcW w:type="dxa" w:w="5227"/>
            <w:shd w:fill="FFFDF9"/>
            <w:tcBorders>
              <w:top w:val="single" w:sz="6" w:color="D9DED8"/>
              <w:left w:val="single" w:sz="6" w:color="D9DED8"/>
              <w:bottom w:val="single" w:sz="6" w:color="D9DED8"/>
              <w:right w:val="single" w:sz="6" w:color="D9DED8"/>
              <w:insideH w:val="single" w:sz="6" w:color="D9DED8"/>
              <w:insideV w:val="single" w:sz="6" w:color="D9DED8"/>
            </w:tcBorders>
          </w:tcPr>
          <w:p>
            <w:r>
              <w:rPr>
                <w:b/>
                <w:color w:val="C57B46"/>
                <w:sz w:val="16"/>
              </w:rPr>
              <w:t>WHEN TO USE</w:t>
            </w:r>
          </w:p>
          <w:p>
            <w:pPr>
              <w:spacing w:after="0"/>
            </w:pPr>
            <w:r>
              <w:rPr>
                <w:sz w:val="18"/>
              </w:rPr>
              <w:t>Compare the taxing authority’s bill with the servicer’s projected and paid tax amounts before attributing a payment increase to escrow.</w:t>
            </w:r>
          </w:p>
        </w:tc>
        <w:tc>
          <w:tcPr>
            <w:tcW w:type="dxa" w:w="5227"/>
            <w:shd w:fill="FFFDF9"/>
            <w:tcBorders>
              <w:top w:val="single" w:sz="6" w:color="D9DED8"/>
              <w:left w:val="single" w:sz="6" w:color="D9DED8"/>
              <w:bottom w:val="single" w:sz="6" w:color="D9DED8"/>
              <w:right w:val="single" w:sz="6" w:color="D9DED8"/>
              <w:insideH w:val="single" w:sz="6" w:color="D9DED8"/>
              <w:insideV w:val="single" w:sz="6" w:color="D9DED8"/>
            </w:tcBorders>
          </w:tcPr>
          <w:p>
            <w:r>
              <w:rPr>
                <w:b/>
                <w:color w:val="C57B46"/>
                <w:sz w:val="16"/>
              </w:rPr>
              <w:t>FEDERAL / PRIMARY REFERENCE</w:t>
            </w:r>
          </w:p>
          <w:p>
            <w:pPr>
              <w:spacing w:after="0"/>
            </w:pPr>
            <w:r>
              <w:rPr>
                <w:sz w:val="18"/>
              </w:rPr>
              <w:t>12 CFR § 1024.17(k) · 12 CFR § 1024.34(a)</w:t>
            </w:r>
          </w:p>
        </w:tc>
      </w:tr>
    </w:tbl>
    <w:p>
      <w:pPr>
        <w:pStyle w:val="Heading1"/>
      </w:pPr>
      <w:r>
        <w:t>Federal baseline to check</w:t>
      </w:r>
    </w:p>
    <w:p>
      <w:pPr>
        <w:pStyle w:val="Checklist"/>
      </w:pPr>
      <w:r>
        <w:rPr>
          <w:b/>
        </w:rPr>
        <w:t xml:space="preserve">☐ </w:t>
      </w:r>
      <w:r>
        <w:t>For an escrowed loan covered by Regulation X, the servicer generally must pay property charges on or before the deadline to avoid a penalty while the mortgage payment is not more than 30 days overdue.</w:t>
      </w:r>
    </w:p>
    <w:p>
      <w:pPr>
        <w:pStyle w:val="Checklist"/>
      </w:pPr>
      <w:r>
        <w:rPr>
          <w:b/>
        </w:rPr>
        <w:t xml:space="preserve">☐ </w:t>
      </w:r>
      <w:r>
        <w:t>If escrow funds are insufficient and the borrower is not more than 30 days overdue, the servicer generally must advance funds for the timely disbursement and may later seek repayment through the deficiency rules.</w:t>
      </w:r>
    </w:p>
    <w:p>
      <w:pPr>
        <w:pStyle w:val="Checklist"/>
      </w:pPr>
      <w:r>
        <w:rPr>
          <w:b/>
        </w:rPr>
        <w:t xml:space="preserve">☐ </w:t>
      </w:r>
      <w:r>
        <w:t>When the servicer knows the next computation year's charge, it must use that known amount in the escrow estimate.</w:t>
      </w:r>
    </w:p>
    <w:p>
      <w:pPr>
        <w:spacing w:before="160" w:after="80"/>
      </w:pPr>
      <w:r>
        <w:rPr>
          <w:rFonts w:ascii="Aptos" w:hAnsi="Aptos"/>
          <w:b/>
          <w:color w:val="C57B46"/>
          <w:sz w:val="17"/>
        </w:rPr>
        <w:t>BORROWER AND LOAN</w:t>
      </w:r>
    </w:p>
    <w:tbl>
      <w:tblPr>
        <w:tblW w:type="auto" w:w="0"/>
        <w:tblLayout w:type="autofit"/>
        <w:tblLook w:firstColumn="1" w:firstRow="1" w:lastColumn="0" w:lastRow="0" w:noHBand="0" w:noVBand="1" w:val="04A0"/>
      </w:tblPr>
      <w:tblGrid>
        <w:gridCol w:w="5227"/>
        <w:gridCol w:w="5227"/>
      </w:tblGrid>
      <w:tr>
        <w:tc>
          <w:tcPr>
            <w:tcW w:type="dxa" w:w="5227"/>
            <w:tcBorders>
              <w:top w:val="single" w:sz="6" w:color="D9DED8"/>
              <w:left w:val="single" w:sz="6" w:color="D9DED8"/>
              <w:bottom w:val="single" w:sz="6" w:color="D9DED8"/>
              <w:right w:val="single" w:sz="6" w:color="D9DED8"/>
              <w:insideH w:val="single" w:sz="6" w:color="D9DED8"/>
              <w:insideV w:val="single" w:sz="6" w:color="D9DED8"/>
            </w:tcBorders>
            <w:shd w:fill="FFFFFF"/>
          </w:tcPr>
          <w:p>
            <w:r>
              <w:rPr>
                <w:b/>
                <w:color w:val="48675F"/>
                <w:sz w:val="16"/>
              </w:rPr>
              <w:t>Borrower name</w:t>
              <w:br/>
            </w:r>
            <w:r>
              <w:rPr>
                <w:sz w:val="20"/>
              </w:rPr>
              <w:t>________________________________</w:t>
            </w:r>
          </w:p>
        </w:tc>
        <w:tc>
          <w:tcPr>
            <w:tcW w:type="dxa" w:w="5227"/>
            <w:tcBorders>
              <w:top w:val="single" w:sz="6" w:color="D9DED8"/>
              <w:left w:val="single" w:sz="6" w:color="D9DED8"/>
              <w:bottom w:val="single" w:sz="6" w:color="D9DED8"/>
              <w:right w:val="single" w:sz="6" w:color="D9DED8"/>
              <w:insideH w:val="single" w:sz="6" w:color="D9DED8"/>
              <w:insideV w:val="single" w:sz="6" w:color="D9DED8"/>
            </w:tcBorders>
            <w:shd w:fill="FFFFFF"/>
          </w:tcPr>
          <w:p>
            <w:r>
              <w:rPr>
                <w:b/>
                <w:color w:val="48675F"/>
                <w:sz w:val="16"/>
              </w:rPr>
              <w:t>Property address</w:t>
              <w:br/>
            </w:r>
            <w:r>
              <w:rPr>
                <w:sz w:val="20"/>
              </w:rPr>
              <w:t>________________________________</w:t>
            </w:r>
          </w:p>
        </w:tc>
      </w:tr>
      <w:tr>
        <w:tc>
          <w:tcPr>
            <w:tcW w:type="dxa" w:w="5227"/>
            <w:tcBorders>
              <w:top w:val="single" w:sz="6" w:color="D9DED8"/>
              <w:left w:val="single" w:sz="6" w:color="D9DED8"/>
              <w:bottom w:val="single" w:sz="6" w:color="D9DED8"/>
              <w:right w:val="single" w:sz="6" w:color="D9DED8"/>
              <w:insideH w:val="single" w:sz="6" w:color="D9DED8"/>
              <w:insideV w:val="single" w:sz="6" w:color="D9DED8"/>
            </w:tcBorders>
            <w:shd w:fill="FFFFFF"/>
          </w:tcPr>
          <w:p>
            <w:r>
              <w:rPr>
                <w:b/>
                <w:color w:val="48675F"/>
                <w:sz w:val="16"/>
              </w:rPr>
              <w:t>Loan/account number</w:t>
              <w:br/>
            </w:r>
            <w:r>
              <w:rPr>
                <w:sz w:val="20"/>
              </w:rPr>
              <w:t>________________________________</w:t>
            </w:r>
          </w:p>
        </w:tc>
        <w:tc>
          <w:tcPr>
            <w:tcW w:type="dxa" w:w="5227"/>
            <w:tcBorders>
              <w:top w:val="single" w:sz="6" w:color="D9DED8"/>
              <w:left w:val="single" w:sz="6" w:color="D9DED8"/>
              <w:bottom w:val="single" w:sz="6" w:color="D9DED8"/>
              <w:right w:val="single" w:sz="6" w:color="D9DED8"/>
              <w:insideH w:val="single" w:sz="6" w:color="D9DED8"/>
              <w:insideV w:val="single" w:sz="6" w:color="D9DED8"/>
            </w:tcBorders>
            <w:shd w:fill="FFFFFF"/>
          </w:tcPr>
          <w:p>
            <w:r>
              <w:rPr>
                <w:b/>
                <w:color w:val="48675F"/>
                <w:sz w:val="16"/>
              </w:rPr>
              <w:t>Servicer name</w:t>
              <w:br/>
            </w:r>
            <w:r>
              <w:rPr>
                <w:sz w:val="20"/>
              </w:rPr>
              <w:t>________________________________</w:t>
            </w:r>
          </w:p>
        </w:tc>
      </w:tr>
    </w:tbl>
    <w:p>
      <w:pPr>
        <w:pStyle w:val="Heading2"/>
      </w:pPr>
      <w:r>
        <w:t>Authority record</w:t>
      </w:r>
    </w:p>
    <w:p>
      <w:pPr>
        <w:pStyle w:val="FillLine"/>
      </w:pPr>
      <w:r>
        <w:rPr>
          <w:color w:val="15332D"/>
          <w:sz w:val="21"/>
        </w:rPr>
        <w:t>Taxing authority / parcel: ____________________   Bill: $__________   No-penalty due date: __________</w:t>
      </w:r>
    </w:p>
    <w:p>
      <w:pPr>
        <w:pStyle w:val="FillLine"/>
      </w:pPr>
      <w:r>
        <w:rPr>
          <w:color w:val="15332D"/>
          <w:sz w:val="21"/>
        </w:rPr>
        <w:t>Notes: ______________________________________________________________________________</w:t>
      </w:r>
    </w:p>
    <w:p>
      <w:pPr>
        <w:pStyle w:val="Heading2"/>
      </w:pPr>
      <w:r>
        <w:t>Servicer projection</w:t>
      </w:r>
    </w:p>
    <w:p>
      <w:pPr>
        <w:pStyle w:val="FillLine"/>
      </w:pPr>
      <w:r>
        <w:rPr>
          <w:color w:val="15332D"/>
          <w:sz w:val="21"/>
        </w:rPr>
        <w:t>Servicer projected tax: $__________   Analysis date: __________</w:t>
      </w:r>
    </w:p>
    <w:p>
      <w:pPr>
        <w:pStyle w:val="FillLine"/>
      </w:pPr>
      <w:r>
        <w:rPr>
          <w:color w:val="15332D"/>
          <w:sz w:val="21"/>
        </w:rPr>
        <w:t>Notes: ______________________________________________________________________________</w:t>
      </w:r>
    </w:p>
    <w:p>
      <w:pPr>
        <w:pStyle w:val="Heading2"/>
      </w:pPr>
      <w:r>
        <w:t>Servicer disbursement</w:t>
      </w:r>
    </w:p>
    <w:p>
      <w:pPr>
        <w:pStyle w:val="FillLine"/>
      </w:pPr>
      <w:r>
        <w:rPr>
          <w:color w:val="15332D"/>
          <w:sz w:val="21"/>
        </w:rPr>
        <w:t>Servicer disbursement: $__________   Posted by tax authority: __________</w:t>
      </w:r>
    </w:p>
    <w:p>
      <w:pPr>
        <w:pStyle w:val="FillLine"/>
      </w:pPr>
      <w:r>
        <w:rPr>
          <w:color w:val="15332D"/>
          <w:sz w:val="21"/>
        </w:rPr>
        <w:t>Notes: ______________________________________________________________________________</w:t>
      </w:r>
    </w:p>
    <w:p>
      <w:pPr>
        <w:pStyle w:val="Heading2"/>
      </w:pPr>
      <w:r>
        <w:t>Mismatch check</w:t>
      </w:r>
    </w:p>
    <w:p>
      <w:pPr>
        <w:pStyle w:val="FillLine"/>
      </w:pPr>
      <w:r>
        <w:rPr>
          <w:color w:val="15332D"/>
          <w:sz w:val="21"/>
        </w:rPr>
        <w:t>Difference / penalty / unresolved posting: ______________________________________</w:t>
      </w:r>
    </w:p>
    <w:p>
      <w:pPr>
        <w:pStyle w:val="FillLine"/>
      </w:pPr>
      <w:r>
        <w:rPr>
          <w:color w:val="15332D"/>
          <w:sz w:val="21"/>
        </w:rPr>
        <w:t>Notes: ______________________________________________________________________________</w:t>
      </w:r>
    </w:p>
    <w:p>
      <w:pPr>
        <w:pStyle w:val="Heading1"/>
      </w:pPr>
      <w:r>
        <w:t>Attachment checklist</w:t>
      </w:r>
    </w:p>
    <w:p>
      <w:pPr>
        <w:pStyle w:val="Checklist"/>
      </w:pPr>
      <w:r>
        <w:rPr>
          <w:b/>
        </w:rPr>
        <w:t xml:space="preserve">☐ </w:t>
      </w:r>
      <w:r>
        <w:t>Tax bill or county payment history</w:t>
      </w:r>
    </w:p>
    <w:p>
      <w:pPr>
        <w:pStyle w:val="Checklist"/>
      </w:pPr>
      <w:r>
        <w:rPr>
          <w:b/>
        </w:rPr>
        <w:t xml:space="preserve">☐ </w:t>
      </w:r>
      <w:r>
        <w:t>Escrow statement</w:t>
      </w:r>
    </w:p>
    <w:p>
      <w:pPr>
        <w:pStyle w:val="Checklist"/>
      </w:pPr>
      <w:r>
        <w:rPr>
          <w:b/>
        </w:rPr>
        <w:t xml:space="preserve">☐ </w:t>
      </w:r>
      <w:r>
        <w:t>Monthly mortgage statement around the disbursement date</w:t>
      </w:r>
    </w:p>
    <w:p>
      <w:pPr>
        <w:pStyle w:val="Checklist"/>
      </w:pPr>
      <w:r>
        <w:rPr>
          <w:b/>
        </w:rPr>
        <w:t xml:space="preserve">☐ </w:t>
      </w:r>
      <w:r>
        <w:t>Copy of this completed template retained for your records</w:t>
      </w:r>
    </w:p>
    <w:p>
      <w:pPr>
        <w:pStyle w:val="Checklist"/>
      </w:pPr>
      <w:r>
        <w:rPr>
          <w:b/>
        </w:rPr>
        <w:t xml:space="preserve">☐ </w:t>
      </w:r>
      <w:r>
        <w:t>Mailing / delivery confirmation retained if sent formally</w:t>
      </w:r>
    </w:p>
    <w:p>
      <w:pPr>
        <w:pStyle w:val="Heading1"/>
      </w:pPr>
      <w:r>
        <w:t>Use notes</w:t>
      </w:r>
    </w:p>
    <w:p>
      <w:pPr>
        <w:pStyle w:val="Checklist"/>
      </w:pPr>
      <w:r>
        <w:rPr>
          <w:b/>
        </w:rPr>
        <w:t xml:space="preserve">☐ </w:t>
      </w:r>
      <w:r>
        <w:t>Use the taxing authority's own bill/payment history as the outside source of truth for amount, installment schedule, and due date.</w:t>
      </w:r>
    </w:p>
    <w:p>
      <w:pPr>
        <w:pStyle w:val="Checklist"/>
      </w:pPr>
      <w:r>
        <w:rPr>
          <w:b/>
        </w:rPr>
        <w:t xml:space="preserve">☐ </w:t>
      </w:r>
      <w:r>
        <w:t>Record whether the tax bill changed because of reassessment, exemption loss, supplemental billing, or installment timing before blaming the escrow calculation.</w:t>
      </w:r>
    </w:p>
    <w:p>
      <w:pPr>
        <w:pStyle w:val="Checklist"/>
      </w:pPr>
      <w:r>
        <w:rPr>
          <w:b/>
        </w:rPr>
        <w:t xml:space="preserve">☐ </w:t>
      </w:r>
      <w:r>
        <w:t>If a penalty appears, preserve the bill showing the no-penalty deadline and the authority record showing when the payment actually posted.</w:t>
      </w:r>
    </w:p>
    <w:p>
      <w:pPr>
        <w:pStyle w:val="Checklist"/>
      </w:pPr>
      <w:r>
        <w:rPr>
          <w:b/>
        </w:rPr>
        <w:t xml:space="preserve">☐ </w:t>
      </w:r>
      <w:r>
        <w:t>Keep a complete copy of the completed template and supporting records; send copies rather than irreplaceable originals when copies are sufficient.</w:t>
      </w:r>
    </w:p>
    <w:p>
      <w:pPr>
        <w:spacing w:before="180"/>
      </w:pPr>
      <w:r>
        <w:rPr>
          <w:b/>
          <w:color w:val="C57B46"/>
          <w:sz w:val="16"/>
        </w:rPr>
        <w:t>PRIMARY SOURCES TO CHECK</w:t>
      </w:r>
    </w:p>
    <w:p>
      <w:r>
        <w:rPr>
          <w:color w:val="48675F"/>
          <w:sz w:val="17"/>
        </w:rPr>
        <w:t>12 CFR § 1024.17(k) • 12 CFR § 1024.34(a)</w:t>
      </w:r>
    </w:p>
    <w:p>
      <w:pPr>
        <w:keepNext w:val="0"/>
        <w:spacing w:after="0"/>
      </w:pPr>
      <w:r>
        <w:rPr>
          <w:color w:val="48675F"/>
          <w:sz w:val="13"/>
        </w:rPr>
        <w:t>Official links: https://www.consumerfinance.gov/rules-policy/regulations/1024/17/  |  https://www.consumerfinance.gov/rules-policy/regulations/1024/34/</w:t>
      </w:r>
    </w:p>
    <w:sectPr w:rsidR="00FC693F" w:rsidRPr="0006063C" w:rsidSect="00034616">
      <w:headerReference w:type="default" r:id="rId9"/>
      <w:footerReference w:type="default" r:id="rId10"/>
      <w:pgSz w:w="12240" w:h="15840"/>
      <w:pgMar w:top="792" w:right="893" w:bottom="792" w:left="893" w:header="317" w:footer="36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48675F"/>
        <w:sz w:val="15"/>
      </w:rPr>
      <w:t>EscrowGuide  |  Educational worksheet - not legal, tax, lending, or insurance advice  |  escrowguide</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ptos" w:hAnsi="Aptos"/>
        <w:b/>
        <w:color w:val="174F43"/>
        <w:sz w:val="16"/>
      </w:rPr>
      <w:t>ESCROWGUIDE  /  FREE HOMEOWNER RESOURCE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9" w:lineRule="auto"/>
    </w:pPr>
    <w:rPr>
      <w:rFonts w:ascii="Aptos" w:hAnsi="Aptos"/>
      <w:color w:val="15332D"/>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00"/>
      <w:outlineLvl w:val="0"/>
    </w:pPr>
    <w:rPr>
      <w:rFonts w:asciiTheme="majorHAnsi" w:eastAsiaTheme="majorEastAsia" w:hAnsiTheme="majorHAnsi" w:cstheme="majorBidi" w:ascii="Aptos Display" w:hAnsi="Aptos Display"/>
      <w:b/>
      <w:bCs/>
      <w:color w:val="15332D"/>
      <w:sz w:val="32"/>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Aptos Display" w:hAnsi="Aptos Display"/>
      <w:b/>
      <w:bCs/>
      <w:color w:val="C57B46"/>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00" w:line="240" w:lineRule="auto" w:before="200"/>
      <w:contextualSpacing/>
    </w:pPr>
    <w:rPr>
      <w:rFonts w:asciiTheme="majorHAnsi" w:eastAsiaTheme="majorEastAsia" w:hAnsiTheme="majorHAnsi" w:cstheme="majorBidi" w:ascii="Aptos Display" w:hAnsi="Aptos Display"/>
      <w:b/>
      <w:color w:val="15332D"/>
      <w:spacing w:val="5"/>
      <w:kern w:val="28"/>
      <w:sz w:val="5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FillLine">
    <w:name w:val="FillLine"/>
    <w:pPr>
      <w:spacing w:after="160"/>
      <w:pBdr>
        <w:bottom w:val="single" w:sz="4" w:space="2" w:color="B9C9C3"/>
      </w:pBdr>
    </w:pPr>
    <w:rPr>
      <w:rFonts w:ascii="Aptos" w:hAnsi="Aptos"/>
      <w:sz w:val="21"/>
    </w:rPr>
  </w:style>
  <w:style w:type="paragraph" w:customStyle="1" w:styleId="Checklist">
    <w:name w:val="Checklist"/>
    <w:pPr>
      <w:spacing w:after="80"/>
      <w:ind w:left="72"/>
    </w:pPr>
    <w:rPr>
      <w:rFonts w:ascii="Aptos" w:hAnsi="Aptos"/>
      <w:sz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