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TAX CHECKLIST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Property Tax Exemption or Appeal Escrow Packet Checklist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39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PREPARE TAX UPDATE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Build a clean evidence packet after a property-tax exemption, appeal, or corrected assessment changes the official bill used in mortgage escrow.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Build a clean evidence packet after a property-tax exemption, appeal, or corrected assessment changes the official bill used in mortgage escrow.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1024.17(c)(7) · 12 CFR § 1024.36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When a servicer knows the next computation year's escrow charge, Regulation X generally requires it to use that known amount in the estimate.</w:t>
      </w:r>
    </w:p>
    <w:p>
      <w:pPr>
        <w:pStyle w:val="Checklist"/>
      </w:pPr>
      <w:r>
        <w:rPr>
          <w:b/>
        </w:rPr>
        <w:t xml:space="preserve">☐ </w:t>
      </w:r>
      <w:r>
        <w:t>A tax exemption, appeal, or corrected assessment can change the official charge, but the effective tax year and date the corrected bill became available matter to the escrow analysis.</w:t>
      </w:r>
    </w:p>
    <w:p>
      <w:pPr>
        <w:pStyle w:val="Checklist"/>
      </w:pPr>
      <w:r>
        <w:rPr>
          <w:b/>
        </w:rPr>
        <w:t xml:space="preserve">☐ </w:t>
      </w:r>
      <w:r>
        <w:t>An RFI can be used to obtain the servicer's tax record, analysis inputs, or explanation if the updated bill is not reflected.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Official decision</w:t>
      </w:r>
    </w:p>
    <w:p>
      <w:pPr>
        <w:pStyle w:val="FillLine"/>
      </w:pPr>
      <w:r>
        <w:rPr>
          <w:color w:val="15332D"/>
          <w:sz w:val="21"/>
        </w:rPr>
        <w:t>Final authority decision: __________   Effective tax year / period: 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Corrected charge</w:t>
      </w:r>
    </w:p>
    <w:p>
      <w:pPr>
        <w:pStyle w:val="FillLine"/>
      </w:pPr>
      <w:r>
        <w:rPr>
          <w:color w:val="15332D"/>
          <w:sz w:val="21"/>
        </w:rPr>
        <w:t>Old official charge: $__________   Corrected official charge: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Refund / credit</w:t>
      </w:r>
    </w:p>
    <w:p>
      <w:pPr>
        <w:pStyle w:val="FillLine"/>
      </w:pPr>
      <w:r>
        <w:rPr>
          <w:color w:val="15332D"/>
          <w:sz w:val="21"/>
        </w:rPr>
        <w:t>Authority refund / credit: $__________   Issued to: ____________________ on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Servicer projection</w:t>
      </w:r>
    </w:p>
    <w:p>
      <w:pPr>
        <w:pStyle w:val="FillLine"/>
      </w:pPr>
      <w:r>
        <w:rPr>
          <w:color w:val="15332D"/>
          <w:sz w:val="21"/>
        </w:rPr>
        <w:t>Servicer projected tax after correction: $__________   Analysis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Update request</w:t>
      </w:r>
    </w:p>
    <w:p>
      <w:pPr>
        <w:pStyle w:val="FillLine"/>
      </w:pPr>
      <w:r>
        <w:rPr>
          <w:color w:val="15332D"/>
          <w:sz w:val="21"/>
        </w:rPr>
        <w:t>Corrected bill delivered to servicer: __________   Update / reanalysis response: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Official corrected tax bill</w:t>
      </w:r>
    </w:p>
    <w:p>
      <w:pPr>
        <w:pStyle w:val="Checklist"/>
      </w:pPr>
      <w:r>
        <w:rPr>
          <w:b/>
        </w:rPr>
        <w:t xml:space="preserve">☐ </w:t>
      </w:r>
      <w:r>
        <w:t>Exemption or appeal decision</w:t>
      </w:r>
    </w:p>
    <w:p>
      <w:pPr>
        <w:pStyle w:val="Checklist"/>
      </w:pPr>
      <w:r>
        <w:rPr>
          <w:b/>
        </w:rPr>
        <w:t xml:space="preserve">☐ </w:t>
      </w:r>
      <w:r>
        <w:t>Tax-account payment/refund history</w:t>
      </w:r>
    </w:p>
    <w:p>
      <w:pPr>
        <w:pStyle w:val="Checklist"/>
      </w:pPr>
      <w:r>
        <w:rPr>
          <w:b/>
        </w:rPr>
        <w:t xml:space="preserve">☐ </w:t>
      </w:r>
      <w:r>
        <w:t>Current escrow analysis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Include the taxing authority's final decision and corrected bill, not only the appeal application or preliminary estimate.</w:t>
      </w:r>
    </w:p>
    <w:p>
      <w:pPr>
        <w:pStyle w:val="Checklist"/>
      </w:pPr>
      <w:r>
        <w:rPr>
          <w:b/>
        </w:rPr>
        <w:t xml:space="preserve">☐ </w:t>
      </w:r>
      <w:r>
        <w:t>Identify whether a refund/credit was issued by the taxing authority and to whom; do not assume a tax refund automatically entered the mortgage escrow account.</w:t>
      </w:r>
    </w:p>
    <w:p>
      <w:pPr>
        <w:pStyle w:val="Checklist"/>
      </w:pPr>
      <w:r>
        <w:rPr>
          <w:b/>
        </w:rPr>
        <w:t xml:space="preserve">☐ </w:t>
      </w:r>
      <w:r>
        <w:t>Record the date you delivered the corrected official amount to the servicer so later analyses can be evaluated against what the servicer actually knew.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1024.17(c)(7) • 12 CFR § 1024.36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  |  https://www.consumerfinance.gov/rules-policy/regulations/1024/36/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