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STATEMENT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Same-Servicer Short-Year Escrow Statement Review 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29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REVIEW SHORT YEAR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when the same mortgage servicer changes the escrow computation year or analysis month and sends a short-year statement without a servicing transfer or payoff.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when the same mortgage servicer changes the escrow computation year or analysis month and sends a short-year statement without a servicing transfer or payoff.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1024.17(i) · 12 CFR § 1024.17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servicer may issue a short-year statement to end one escrow computation year early and establish a new computation-year schedule.</w:t>
      </w:r>
    </w:p>
    <w:p>
      <w:pPr>
        <w:pStyle w:val="Checklist"/>
      </w:pPr>
      <w:r>
        <w:rPr>
          <w:b/>
        </w:rPr>
        <w:t xml:space="preserve">☐ </w:t>
      </w:r>
      <w:r>
        <w:t>A short-year statement is generally due within 60 days after the short year ends.</w:t>
      </w:r>
    </w:p>
    <w:p>
      <w:pPr>
        <w:pStyle w:val="Checklist"/>
      </w:pPr>
      <w:r>
        <w:rPr>
          <w:b/>
        </w:rPr>
        <w:t xml:space="preserve">☐ </w:t>
      </w:r>
      <w:r>
        <w:t>The existence of a short year is not itself evidence of an error; the statement should still allow the account history and new projection to be reconciled.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Old computation year</w:t>
      </w:r>
    </w:p>
    <w:p>
      <w:pPr>
        <w:pStyle w:val="FillLine"/>
      </w:pPr>
      <w:r>
        <w:rPr>
          <w:color w:val="15332D"/>
          <w:sz w:val="21"/>
        </w:rPr>
        <w:t>Old computation year: __________ to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Short-year end date</w:t>
      </w:r>
    </w:p>
    <w:p>
      <w:pPr>
        <w:pStyle w:val="FillLine"/>
      </w:pPr>
      <w:r>
        <w:rPr>
          <w:color w:val="15332D"/>
          <w:sz w:val="21"/>
        </w:rPr>
        <w:t>Short year ended: __________   60-calendar-day statement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History covered</w:t>
      </w:r>
    </w:p>
    <w:p>
      <w:pPr>
        <w:pStyle w:val="FillLine"/>
      </w:pPr>
      <w:r>
        <w:rPr>
          <w:color w:val="15332D"/>
          <w:sz w:val="21"/>
        </w:rPr>
        <w:t>History covered: __________ to __________   Deposits: $__________   Disbursements: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New projection</w:t>
      </w:r>
    </w:p>
    <w:p>
      <w:pPr>
        <w:pStyle w:val="FillLine"/>
      </w:pPr>
      <w:r>
        <w:rPr>
          <w:color w:val="15332D"/>
          <w:sz w:val="21"/>
        </w:rPr>
        <w:t>New projection recurring escrow: $__________/mo   Shortage/surplus/deficiency: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New annual cycle</w:t>
      </w:r>
    </w:p>
    <w:p>
      <w:pPr>
        <w:pStyle w:val="FillLine"/>
      </w:pPr>
      <w:r>
        <w:rPr>
          <w:color w:val="15332D"/>
          <w:sz w:val="21"/>
        </w:rPr>
        <w:t>New computation year begins: __________   First revised escrow payment: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Prior annual escrow statement</w:t>
      </w:r>
    </w:p>
    <w:p>
      <w:pPr>
        <w:pStyle w:val="Checklist"/>
      </w:pPr>
      <w:r>
        <w:rPr>
          <w:b/>
        </w:rPr>
        <w:t xml:space="preserve">☐ </w:t>
      </w:r>
      <w:r>
        <w:t>Short-year statement</w:t>
      </w:r>
    </w:p>
    <w:p>
      <w:pPr>
        <w:pStyle w:val="Checklist"/>
      </w:pPr>
      <w:r>
        <w:rPr>
          <w:b/>
        </w:rPr>
        <w:t xml:space="preserve">☐ </w:t>
      </w:r>
      <w:r>
        <w:t>First statement in new computation year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Record the old computation-year dates and the new start date so you can check whether deposits or disbursements were omitted or duplicated in the transition.</w:t>
      </w:r>
    </w:p>
    <w:p>
      <w:pPr>
        <w:pStyle w:val="Checklist"/>
      </w:pPr>
      <w:r>
        <w:rPr>
          <w:b/>
        </w:rPr>
        <w:t xml:space="preserve">☐ </w:t>
      </w:r>
      <w:r>
        <w:t>Do not compare a short-year total directly with a 12-month total without normalizing the covered period.</w:t>
      </w:r>
    </w:p>
    <w:p>
      <w:pPr>
        <w:pStyle w:val="Checklist"/>
      </w:pPr>
      <w:r>
        <w:rPr>
          <w:b/>
        </w:rPr>
        <w:t xml:space="preserve">☐ </w:t>
      </w:r>
      <w:r>
        <w:t>If the short year followed a servicing transfer, also check the transfer-specific requirements because the old and new servicers have separate statement duties.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1024.17(i) • 12 CFR § 1024.17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