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ADVANCE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Servicer Escrow Advance Verification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24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VERIFY ADVANCE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Reconcile a tax or insurance payment the servicer made when the escrow account did not contain enough money, including the later deficiency analysis and repayment request.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Reconcile a tax or insurance payment the servicer made when the escrow account did not contain enough money, including the later deficiency analysis and repayment request.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1024.17(k) · 12 CFR § 1024.17(f)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For escrowed disbursements, the servicer generally must pay on time and advance funds when needed while the mortgage payment is not more than 30 days overdue.</w:t>
      </w:r>
    </w:p>
    <w:p>
      <w:pPr>
        <w:pStyle w:val="Checklist"/>
      </w:pPr>
      <w:r>
        <w:rPr>
          <w:b/>
        </w:rPr>
        <w:t xml:space="preserve">☐ </w:t>
      </w:r>
      <w:r>
        <w:t>After advancing funds for a disbursement not caused by borrower payment default, the servicer must conduct an escrow analysis before seeking repayment of the deficiency under § 1024.17(f).</w:t>
      </w:r>
    </w:p>
    <w:p>
      <w:pPr>
        <w:pStyle w:val="Checklist"/>
      </w:pPr>
      <w:r>
        <w:rPr>
          <w:b/>
        </w:rPr>
        <w:t xml:space="preserve">☐ </w:t>
      </w:r>
      <w:r>
        <w:t>For hazard insurance, insufficient escrow funds alone do not make the servicer unable to disburse the premium under the special rule for borrowers more than 30 days overdue.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Underlying bill</w:t>
      </w:r>
    </w:p>
    <w:p>
      <w:pPr>
        <w:pStyle w:val="FillLine"/>
      </w:pPr>
      <w:r>
        <w:rPr>
          <w:color w:val="15332D"/>
          <w:sz w:val="21"/>
        </w:rPr>
        <w:t>Bill/payee: ____________________   Amount: $__________   No-penalty due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Escrow balance before payment</w:t>
      </w:r>
    </w:p>
    <w:p>
      <w:pPr>
        <w:pStyle w:val="FillLine"/>
      </w:pPr>
      <w:r>
        <w:rPr>
          <w:color w:val="15332D"/>
          <w:sz w:val="21"/>
        </w:rPr>
        <w:t>Escrow balance before disbursement: $__________   Mortgage payment status then: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Servicer advance</w:t>
      </w:r>
    </w:p>
    <w:p>
      <w:pPr>
        <w:pStyle w:val="FillLine"/>
      </w:pPr>
      <w:r>
        <w:rPr>
          <w:color w:val="15332D"/>
          <w:sz w:val="21"/>
        </w:rPr>
        <w:t>Servicer funds advanced: $__________   Disbursement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Required analysis</w:t>
      </w:r>
    </w:p>
    <w:p>
      <w:pPr>
        <w:pStyle w:val="FillLine"/>
      </w:pPr>
      <w:r>
        <w:rPr>
          <w:color w:val="15332D"/>
          <w:sz w:val="21"/>
        </w:rPr>
        <w:t>Escrow analysis after advance: __________   Deficiency shown: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Repayment shown</w:t>
      </w:r>
    </w:p>
    <w:p>
      <w:pPr>
        <w:pStyle w:val="FillLine"/>
      </w:pPr>
      <w:r>
        <w:rPr>
          <w:color w:val="15332D"/>
          <w:sz w:val="21"/>
        </w:rPr>
        <w:t>Repayment treatment / months: ____________________   Amount per month: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Tax bill or insurance invoice</w:t>
      </w:r>
    </w:p>
    <w:p>
      <w:pPr>
        <w:pStyle w:val="Checklist"/>
      </w:pPr>
      <w:r>
        <w:rPr>
          <w:b/>
        </w:rPr>
        <w:t xml:space="preserve">☐ </w:t>
      </w:r>
      <w:r>
        <w:t>Escrow transaction history</w:t>
      </w:r>
    </w:p>
    <w:p>
      <w:pPr>
        <w:pStyle w:val="Checklist"/>
      </w:pPr>
      <w:r>
        <w:rPr>
          <w:b/>
        </w:rPr>
        <w:t xml:space="preserve">☐ </w:t>
      </w:r>
      <w:r>
        <w:t>Escrow analysis after the advance</w:t>
      </w:r>
    </w:p>
    <w:p>
      <w:pPr>
        <w:pStyle w:val="Checklist"/>
      </w:pPr>
      <w:r>
        <w:rPr>
          <w:b/>
        </w:rPr>
        <w:t xml:space="preserve">☐ </w:t>
      </w:r>
      <w:r>
        <w:t>Mortgage payment history around the due date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Document delinquency status as of the property-charge due date, not just today's status; the timely-payment rule is tied to how overdue the mortgage payment was then.</w:t>
      </w:r>
    </w:p>
    <w:p>
      <w:pPr>
        <w:pStyle w:val="Checklist"/>
      </w:pPr>
      <w:r>
        <w:rPr>
          <w:b/>
        </w:rPr>
        <w:t xml:space="preserve">☐ </w:t>
      </w:r>
      <w:r>
        <w:t>Verify that an escrow analysis was performed before the servicer sought repayment of a qualifying advance and compare the resulting deficiency with the ledger.</w:t>
      </w:r>
    </w:p>
    <w:p>
      <w:pPr>
        <w:pStyle w:val="Checklist"/>
      </w:pPr>
      <w:r>
        <w:rPr>
          <w:b/>
        </w:rPr>
        <w:t xml:space="preserve">☐ </w:t>
      </w:r>
      <w:r>
        <w:t>If the disbursement was hazard insurance and the account was over 30 days overdue, use the insurer/cancellation facts too; the rule has additional limits on when force-placed coverage can be used.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1024.17(k) • 12 CFR § 1024.17(f)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