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920"/>
        <w:gridCol w:w="2232"/>
      </w:tblGrid>
      <w:tr>
        <w:tc>
          <w:tcPr>
            <w:tcW w:type="dxa" w:w="5227"/>
            <w:shd w:fill="F6F1E7"/>
            <w:tcBorders>
              <w:top w:val="single" w:sz="0" w:color="F6F1E7"/>
              <w:left w:val="single" w:sz="0" w:color="F6F1E7"/>
              <w:bottom w:val="single" w:sz="0" w:color="F6F1E7"/>
              <w:right w:val="single" w:sz="0" w:color="F6F1E7"/>
              <w:insideH w:val="single" w:sz="0" w:color="F6F1E7"/>
              <w:insideV w:val="single" w:sz="0" w:color="F6F1E7"/>
            </w:tcBorders>
            <w:vAlign w:val="center"/>
          </w:tcPr>
          <w:p>
            <w:pPr>
              <w:spacing w:after="0"/>
            </w:pPr>
            <w:r>
              <w:rPr>
                <w:rFonts w:ascii="Aptos" w:hAnsi="Aptos"/>
                <w:b/>
                <w:color w:val="C57B46"/>
                <w:sz w:val="17"/>
              </w:rPr>
              <w:t>TRANSFER TRACKER</w:t>
            </w:r>
          </w:p>
          <w:p>
            <w:pPr>
              <w:spacing w:after="0"/>
            </w:pPr>
            <w:r>
              <w:rPr>
                <w:rFonts w:ascii="Aptos Display" w:hAnsi="Aptos Display"/>
                <w:b/>
                <w:color w:val="15332D"/>
                <w:sz w:val="46"/>
              </w:rPr>
              <w:t>Servicing Transfer 60-Day Payment Protection Log</w:t>
            </w:r>
          </w:p>
        </w:tc>
        <w:tc>
          <w:tcPr>
            <w:tcW w:type="dxa" w:w="5227"/>
            <w:shd w:fill="174F43"/>
            <w:tcBorders>
              <w:top w:val="single" w:sz="0" w:color="F6F1E7"/>
              <w:left w:val="single" w:sz="0" w:color="F6F1E7"/>
              <w:bottom w:val="single" w:sz="0" w:color="F6F1E7"/>
              <w:right w:val="single" w:sz="0" w:color="F6F1E7"/>
              <w:insideH w:val="single" w:sz="0" w:color="F6F1E7"/>
              <w:insideV w:val="single" w:sz="0" w:color="F6F1E7"/>
            </w:tcBorders>
            <w:vAlign w:val="center"/>
          </w:tcPr>
          <w:p>
            <w:pPr>
              <w:jc w:val="center"/>
            </w:pPr>
            <w:r>
              <w:rPr>
                <w:rFonts w:ascii="Aptos Display" w:hAnsi="Aptos Display"/>
                <w:b/>
                <w:color w:val="FFFFFF"/>
                <w:sz w:val="56"/>
              </w:rPr>
              <w:t>35</w:t>
            </w:r>
          </w:p>
          <w:p>
            <w:pPr>
              <w:jc w:val="center"/>
            </w:pPr>
            <w:r>
              <w:rPr>
                <w:rFonts w:ascii="Aptos" w:hAnsi="Aptos"/>
                <w:b/>
                <w:color w:val="DCEAE6"/>
                <w:sz w:val="15"/>
              </w:rPr>
              <w:t>TRACK PAYMENTS</w:t>
            </w:r>
          </w:p>
        </w:tc>
      </w:tr>
    </w:tbl>
    <w:p>
      <w:pPr>
        <w:spacing w:before="160" w:after="120"/>
      </w:pPr>
      <w:r>
        <w:rPr>
          <w:color w:val="48675F"/>
          <w:sz w:val="21"/>
        </w:rPr>
        <w:t>Track mortgage payments sent around a servicing transfer, especially payments mistakenly sent to the old servicer during the federal 60-day transfer-protection period.</w:t>
      </w:r>
    </w:p>
    <w:tbl>
      <w:tblPr>
        <w:tblW w:type="auto" w:w="0"/>
        <w:tblLayout w:type="fixed"/>
        <w:tblLook w:firstColumn="1" w:firstRow="1" w:lastColumn="0" w:lastRow="0" w:noHBand="0" w:noVBand="1" w:val="04A0"/>
      </w:tblPr>
      <w:tblGrid>
        <w:gridCol w:w="5184"/>
        <w:gridCol w:w="4968"/>
      </w:tblGrid>
      <w:tr>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WHEN TO USE</w:t>
            </w:r>
          </w:p>
          <w:p>
            <w:pPr>
              <w:spacing w:after="0"/>
            </w:pPr>
            <w:r>
              <w:rPr>
                <w:sz w:val="18"/>
              </w:rPr>
              <w:t>Track mortgage payments sent around a servicing transfer, especially payments mistakenly sent to the old servicer during the federal 60-day transfer-protection period.</w:t>
            </w:r>
          </w:p>
        </w:tc>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FEDERAL / PRIMARY REFERENCE</w:t>
            </w:r>
          </w:p>
          <w:p>
            <w:pPr>
              <w:spacing w:after="0"/>
            </w:pPr>
            <w:r>
              <w:rPr>
                <w:sz w:val="18"/>
              </w:rPr>
              <w:t>12 CFR § 1024.33</w:t>
            </w:r>
          </w:p>
        </w:tc>
      </w:tr>
    </w:tbl>
    <w:p>
      <w:pPr>
        <w:pStyle w:val="Heading1"/>
      </w:pPr>
      <w:r>
        <w:t>Federal baseline to check</w:t>
      </w:r>
    </w:p>
    <w:p>
      <w:pPr>
        <w:pStyle w:val="Checklist"/>
      </w:pPr>
      <w:r>
        <w:rPr>
          <w:b/>
        </w:rPr>
        <w:t xml:space="preserve">☐ </w:t>
      </w:r>
      <w:r>
        <w:t>The federal transfer protection runs for 60 days beginning on the servicing transfer effective date.</w:t>
      </w:r>
    </w:p>
    <w:p>
      <w:pPr>
        <w:pStyle w:val="Checklist"/>
      </w:pPr>
      <w:r>
        <w:rPr>
          <w:b/>
        </w:rPr>
        <w:t xml:space="preserve">☐ </w:t>
      </w:r>
      <w:r>
        <w:t>During that period, a payment mistakenly received by the old servicer on or before the applicable due date, including any grace period allowed by the loan documents, may not be treated as late for any purpose.</w:t>
      </w:r>
    </w:p>
    <w:p>
      <w:pPr>
        <w:pStyle w:val="Checklist"/>
      </w:pPr>
      <w:r>
        <w:rPr>
          <w:b/>
        </w:rPr>
        <w:t xml:space="preserve">☐ </w:t>
      </w:r>
      <w:r>
        <w:t>The old servicer must promptly forward an incorrectly received payment to the new servicer or return it and notify the payer of the proper recipient.</w:t>
      </w:r>
    </w:p>
    <w:p>
      <w:pPr>
        <w:spacing w:before="160" w:after="80"/>
      </w:pPr>
      <w:r>
        <w:rPr>
          <w:rFonts w:ascii="Aptos" w:hAnsi="Aptos"/>
          <w:b/>
          <w:color w:val="C57B46"/>
          <w:sz w:val="17"/>
        </w:rPr>
        <w:t>BORROWER AND LOAN</w:t>
      </w:r>
    </w:p>
    <w:tbl>
      <w:tblPr>
        <w:tblW w:type="auto" w:w="0"/>
        <w:tblLayout w:type="autofit"/>
        <w:tblLook w:firstColumn="1" w:firstRow="1" w:lastColumn="0" w:lastRow="0" w:noHBand="0" w:noVBand="1" w:val="04A0"/>
      </w:tblPr>
      <w:tblGrid>
        <w:gridCol w:w="5227"/>
        <w:gridCol w:w="5227"/>
      </w:tblGrid>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Borrower name</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Property address</w:t>
              <w:br/>
            </w:r>
            <w:r>
              <w:rPr>
                <w:sz w:val="20"/>
              </w:rPr>
              <w:t>________________________________</w:t>
            </w:r>
          </w:p>
        </w:tc>
      </w:tr>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Loan/account number</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Servicer name</w:t>
              <w:br/>
            </w:r>
            <w:r>
              <w:rPr>
                <w:sz w:val="20"/>
              </w:rPr>
              <w:t>________________________________</w:t>
            </w:r>
          </w:p>
        </w:tc>
      </w:tr>
    </w:tbl>
    <w:p>
      <w:pPr>
        <w:pStyle w:val="Heading2"/>
      </w:pPr>
      <w:r>
        <w:t>Transfer effective date</w:t>
      </w:r>
    </w:p>
    <w:p>
      <w:pPr>
        <w:pStyle w:val="FillLine"/>
      </w:pPr>
      <w:r>
        <w:rPr>
          <w:color w:val="15332D"/>
          <w:sz w:val="21"/>
        </w:rPr>
        <w:t>Transfer effective: __________   60-day protection end: __________</w:t>
      </w:r>
    </w:p>
    <w:p>
      <w:pPr>
        <w:pStyle w:val="FillLine"/>
      </w:pPr>
      <w:r>
        <w:rPr>
          <w:color w:val="15332D"/>
          <w:sz w:val="21"/>
        </w:rPr>
        <w:t>Notes: ______________________________________________________________________________</w:t>
      </w:r>
    </w:p>
    <w:p>
      <w:pPr>
        <w:pStyle w:val="Heading2"/>
      </w:pPr>
      <w:r>
        <w:t>Payment sent</w:t>
      </w:r>
    </w:p>
    <w:p>
      <w:pPr>
        <w:pStyle w:val="FillLine"/>
      </w:pPr>
      <w:r>
        <w:rPr>
          <w:color w:val="15332D"/>
          <w:sz w:val="21"/>
        </w:rPr>
        <w:t>Payment due: __________   Contractual grace-period end (if any): __________   Amount: $__________</w:t>
      </w:r>
    </w:p>
    <w:p>
      <w:pPr>
        <w:pStyle w:val="FillLine"/>
      </w:pPr>
      <w:r>
        <w:rPr>
          <w:color w:val="15332D"/>
          <w:sz w:val="21"/>
        </w:rPr>
        <w:t>Notes: ______________________________________________________________________________</w:t>
      </w:r>
    </w:p>
    <w:p>
      <w:pPr>
        <w:pStyle w:val="Heading2"/>
      </w:pPr>
      <w:r>
        <w:t>Where it was sent</w:t>
      </w:r>
    </w:p>
    <w:p>
      <w:pPr>
        <w:pStyle w:val="FillLine"/>
      </w:pPr>
      <w:r>
        <w:rPr>
          <w:color w:val="15332D"/>
          <w:sz w:val="21"/>
        </w:rPr>
        <w:t>Old servicer received payment: __________   Delivery/bank proof: ____________________</w:t>
      </w:r>
    </w:p>
    <w:p>
      <w:pPr>
        <w:pStyle w:val="FillLine"/>
      </w:pPr>
      <w:r>
        <w:rPr>
          <w:color w:val="15332D"/>
          <w:sz w:val="21"/>
        </w:rPr>
        <w:t>Notes: ______________________________________________________________________________</w:t>
      </w:r>
    </w:p>
    <w:p>
      <w:pPr>
        <w:pStyle w:val="Heading2"/>
      </w:pPr>
      <w:r>
        <w:t>How it posted</w:t>
      </w:r>
    </w:p>
    <w:p>
      <w:pPr>
        <w:pStyle w:val="FillLine"/>
      </w:pPr>
      <w:r>
        <w:rPr>
          <w:color w:val="15332D"/>
          <w:sz w:val="21"/>
        </w:rPr>
        <w:t>Forwarded/returned: __________   New servicer posted: __________</w:t>
      </w:r>
    </w:p>
    <w:p>
      <w:pPr>
        <w:pStyle w:val="FillLine"/>
      </w:pPr>
      <w:r>
        <w:rPr>
          <w:color w:val="15332D"/>
          <w:sz w:val="21"/>
        </w:rPr>
        <w:t>Notes: ______________________________________________________________________________</w:t>
      </w:r>
    </w:p>
    <w:p>
      <w:pPr>
        <w:pStyle w:val="Heading2"/>
      </w:pPr>
      <w:r>
        <w:t>Fee / credit reporting check</w:t>
      </w:r>
    </w:p>
    <w:p>
      <w:pPr>
        <w:pStyle w:val="FillLine"/>
      </w:pPr>
      <w:r>
        <w:rPr>
          <w:color w:val="15332D"/>
          <w:sz w:val="21"/>
        </w:rPr>
        <w:t>Late fee / delinquency / credit-reporting issue: ____________________   Corrected: __________</w:t>
      </w:r>
    </w:p>
    <w:p>
      <w:pPr>
        <w:pStyle w:val="FillLine"/>
      </w:pPr>
      <w:r>
        <w:rPr>
          <w:color w:val="15332D"/>
          <w:sz w:val="21"/>
        </w:rPr>
        <w:t>Notes: ______________________________________________________________________________</w:t>
      </w:r>
    </w:p>
    <w:p>
      <w:pPr>
        <w:pStyle w:val="Heading1"/>
      </w:pPr>
      <w:r>
        <w:t>Attachment checklist</w:t>
      </w:r>
    </w:p>
    <w:p>
      <w:pPr>
        <w:pStyle w:val="Checklist"/>
      </w:pPr>
      <w:r>
        <w:rPr>
          <w:b/>
        </w:rPr>
        <w:t xml:space="preserve">☐ </w:t>
      </w:r>
      <w:r>
        <w:t>Old and new servicer transfer notices</w:t>
      </w:r>
    </w:p>
    <w:p>
      <w:pPr>
        <w:pStyle w:val="Checklist"/>
      </w:pPr>
      <w:r>
        <w:rPr>
          <w:b/>
        </w:rPr>
        <w:t xml:space="preserve">☐ </w:t>
      </w:r>
      <w:r>
        <w:t>Bank/payment confirmations</w:t>
      </w:r>
    </w:p>
    <w:p>
      <w:pPr>
        <w:pStyle w:val="Checklist"/>
      </w:pPr>
      <w:r>
        <w:rPr>
          <w:b/>
        </w:rPr>
        <w:t xml:space="preserve">☐ </w:t>
      </w:r>
      <w:r>
        <w:t>Statements from both servicers</w:t>
      </w:r>
    </w:p>
    <w:p>
      <w:pPr>
        <w:pStyle w:val="Checklist"/>
      </w:pPr>
      <w:r>
        <w:rPr>
          <w:b/>
        </w:rPr>
        <w:t xml:space="preserve">☐ </w:t>
      </w:r>
      <w:r>
        <w:t>Copy of this completed template retained for your records</w:t>
      </w:r>
    </w:p>
    <w:p>
      <w:pPr>
        <w:pStyle w:val="Checklist"/>
      </w:pPr>
      <w:r>
        <w:rPr>
          <w:b/>
        </w:rPr>
        <w:t xml:space="preserve">☐ </w:t>
      </w:r>
      <w:r>
        <w:t>Mailing / delivery confirmation retained if sent formally</w:t>
      </w:r>
    </w:p>
    <w:p>
      <w:pPr>
        <w:pStyle w:val="Heading1"/>
      </w:pPr>
      <w:r>
        <w:t>Use notes</w:t>
      </w:r>
    </w:p>
    <w:p>
      <w:pPr>
        <w:pStyle w:val="Checklist"/>
      </w:pPr>
      <w:r>
        <w:rPr>
          <w:b/>
        </w:rPr>
        <w:t xml:space="preserve">☐ </w:t>
      </w:r>
      <w:r>
        <w:t>The key date is when the old servicer received the payment, not when the new servicer eventually posted it; keep bank and delivery evidence.</w:t>
      </w:r>
    </w:p>
    <w:p>
      <w:pPr>
        <w:pStyle w:val="Checklist"/>
      </w:pPr>
      <w:r>
        <w:rPr>
          <w:b/>
        </w:rPr>
        <w:t xml:space="preserve">☐ </w:t>
      </w:r>
      <w:r>
        <w:t>Record the contractual due date and grace period. The 60-day protection does not make an otherwise late payment timely merely because it was sent to the old servicer.</w:t>
      </w:r>
    </w:p>
    <w:p>
      <w:pPr>
        <w:pStyle w:val="Checklist"/>
      </w:pPr>
      <w:r>
        <w:rPr>
          <w:b/>
        </w:rPr>
        <w:t xml:space="preserve">☐ </w:t>
      </w:r>
      <w:r>
        <w:t>If a late fee or delinquency appears, preserve the transfer notice and payment-receipt evidence before asking for correction.</w:t>
      </w:r>
    </w:p>
    <w:p>
      <w:pPr>
        <w:pStyle w:val="Checklist"/>
      </w:pPr>
      <w:r>
        <w:rPr>
          <w:b/>
        </w:rPr>
        <w:t xml:space="preserve">☐ </w:t>
      </w:r>
      <w:r>
        <w:t>Keep a complete copy of the completed template and supporting records; send copies rather than irreplaceable originals when copies are sufficient.</w:t>
      </w:r>
    </w:p>
    <w:p>
      <w:pPr>
        <w:spacing w:before="180"/>
      </w:pPr>
      <w:r>
        <w:rPr>
          <w:b/>
          <w:color w:val="C57B46"/>
          <w:sz w:val="16"/>
        </w:rPr>
        <w:t>PRIMARY SOURCES TO CHECK</w:t>
      </w:r>
    </w:p>
    <w:p>
      <w:r>
        <w:rPr>
          <w:color w:val="48675F"/>
          <w:sz w:val="17"/>
        </w:rPr>
        <w:t>12 CFR § 1024.33</w:t>
      </w:r>
    </w:p>
    <w:p>
      <w:pPr>
        <w:keepNext w:val="0"/>
        <w:spacing w:after="0"/>
      </w:pPr>
      <w:r>
        <w:rPr>
          <w:color w:val="48675F"/>
          <w:sz w:val="13"/>
        </w:rPr>
        <w:t>Official links: https://www.consumerfinance.gov/rules-policy/regulations/1024/33/</w:t>
      </w:r>
    </w:p>
    <w:sectPr w:rsidR="00FC693F" w:rsidRPr="0006063C" w:rsidSect="00034616">
      <w:headerReference w:type="default" r:id="rId9"/>
      <w:footerReference w:type="default" r:id="rId10"/>
      <w:pgSz w:w="12240" w:h="15840"/>
      <w:pgMar w:top="792" w:right="893" w:bottom="792" w:left="893" w:header="317"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48675F"/>
        <w:sz w:val="15"/>
      </w:rPr>
      <w:t>EscrowGuide  |  Educational worksheet - not legal, tax, lending, or insurance advice  |  escrowguide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74F43"/>
        <w:sz w:val="16"/>
      </w:rPr>
      <w:t>ESCROWGUIDE  /  FREE HOMEOWNER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533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5332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C57B4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5332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llLine">
    <w:name w:val="FillLine"/>
    <w:pPr>
      <w:spacing w:after="160"/>
      <w:pBdr>
        <w:bottom w:val="single" w:sz="4" w:space="2" w:color="B9C9C3"/>
      </w:pBdr>
    </w:pPr>
    <w:rPr>
      <w:rFonts w:ascii="Aptos" w:hAnsi="Aptos"/>
      <w:sz w:val="21"/>
    </w:rPr>
  </w:style>
  <w:style w:type="paragraph" w:customStyle="1" w:styleId="Checklist">
    <w:name w:val="Checklist"/>
    <w:pPr>
      <w:spacing w:after="80"/>
      <w:ind w:left="72"/>
    </w:pPr>
    <w:rPr>
      <w:rFonts w:ascii="Aptos" w:hAnsi="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