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TRANSFER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Servicing Transfer Escrow Reconciliation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07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RECONCILE TRANSFER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Build a before-and-after ledger across a mortgage servicing transfer so the old closing escrow balance and new opening balance can be tested as one continuous account.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Build a before-and-after ledger across a mortgage servicing transfer so the old closing escrow balance and new opening balance can be tested as one continuous account.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1024.33 · 12 CFR § 1024.17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If a new servicer changes the monthly escrow payment or accounting method, Regulation X requires an initial escrow statement within 60 days of the servicing transfer.</w:t>
      </w:r>
    </w:p>
    <w:p>
      <w:pPr>
        <w:pStyle w:val="Checklist"/>
      </w:pPr>
      <w:r>
        <w:rPr>
          <w:b/>
        </w:rPr>
        <w:t xml:space="preserve">☐ </w:t>
      </w:r>
      <w:r>
        <w:t>The old servicer generally provides a short-year escrow statement within 60 days of the transfer effective date.</w:t>
      </w:r>
    </w:p>
    <w:p>
      <w:pPr>
        <w:pStyle w:val="Checklist"/>
      </w:pPr>
      <w:r>
        <w:rPr>
          <w:b/>
        </w:rPr>
        <w:t xml:space="preserve">☐ </w:t>
      </w:r>
      <w:r>
        <w:t>The new servicer must treat transferred shortages, surpluses, and deficiencies under the same Regulation X escrow rules.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Transfer dates</w:t>
      </w:r>
    </w:p>
    <w:p>
      <w:pPr>
        <w:pStyle w:val="FillLine"/>
      </w:pPr>
      <w:r>
        <w:rPr>
          <w:color w:val="15332D"/>
          <w:sz w:val="21"/>
        </w:rPr>
        <w:t>Transfer effective date: __________   First statement from new servicer: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Old servicer closing record</w:t>
      </w:r>
    </w:p>
    <w:p>
      <w:pPr>
        <w:pStyle w:val="FillLine"/>
      </w:pPr>
      <w:r>
        <w:rPr>
          <w:color w:val="15332D"/>
          <w:sz w:val="21"/>
        </w:rPr>
        <w:t>Old servicer closing escrow balance: $__________ as of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Transfer-period activity</w:t>
      </w:r>
    </w:p>
    <w:p>
      <w:pPr>
        <w:pStyle w:val="FillLine"/>
      </w:pPr>
      <w:r>
        <w:rPr>
          <w:color w:val="15332D"/>
          <w:sz w:val="21"/>
        </w:rPr>
        <w:t>Transfer-period deposits/disbursements/reversals: $__________   Date(s):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New servicer opening record</w:t>
      </w:r>
    </w:p>
    <w:p>
      <w:pPr>
        <w:pStyle w:val="FillLine"/>
      </w:pPr>
      <w:r>
        <w:rPr>
          <w:color w:val="15332D"/>
          <w:sz w:val="21"/>
        </w:rPr>
        <w:t>New servicer opening escrow balance: $__________ as of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Difference to investigate</w:t>
      </w:r>
    </w:p>
    <w:p>
      <w:pPr>
        <w:pStyle w:val="FillLine"/>
      </w:pPr>
      <w:r>
        <w:rPr>
          <w:color w:val="15332D"/>
          <w:sz w:val="21"/>
        </w:rPr>
        <w:t>Unexplained difference after bridge entries: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Transfer notice</w:t>
      </w:r>
    </w:p>
    <w:p>
      <w:pPr>
        <w:pStyle w:val="Checklist"/>
      </w:pPr>
      <w:r>
        <w:rPr>
          <w:b/>
        </w:rPr>
        <w:t xml:space="preserve">☐ </w:t>
      </w:r>
      <w:r>
        <w:t>Final statement from old servicer</w:t>
      </w:r>
    </w:p>
    <w:p>
      <w:pPr>
        <w:pStyle w:val="Checklist"/>
      </w:pPr>
      <w:r>
        <w:rPr>
          <w:b/>
        </w:rPr>
        <w:t xml:space="preserve">☐ </w:t>
      </w:r>
      <w:r>
        <w:t>First statement from new servicer</w:t>
      </w:r>
    </w:p>
    <w:p>
      <w:pPr>
        <w:pStyle w:val="Checklist"/>
      </w:pPr>
      <w:r>
        <w:rPr>
          <w:b/>
        </w:rPr>
        <w:t xml:space="preserve">☐ </w:t>
      </w:r>
      <w:r>
        <w:t>Tax and insurance payment records around transfer date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Reconcile the old closing balance to the new opening balance before comparing later monthly payments; transfer-period tax or insurance disbursements can legitimately bridge the two numbers.</w:t>
      </w:r>
    </w:p>
    <w:p>
      <w:pPr>
        <w:pStyle w:val="Checklist"/>
      </w:pPr>
      <w:r>
        <w:rPr>
          <w:b/>
        </w:rPr>
        <w:t xml:space="preserve">☐ </w:t>
      </w:r>
      <w:r>
        <w:t>Use the transfer effective date, not the date you first received a letter, as the anchor for the account handoff.</w:t>
      </w:r>
    </w:p>
    <w:p>
      <w:pPr>
        <w:pStyle w:val="Checklist"/>
      </w:pPr>
      <w:r>
        <w:rPr>
          <w:b/>
        </w:rPr>
        <w:t xml:space="preserve">☐ </w:t>
      </w:r>
      <w:r>
        <w:t>If the balance or transaction history appears to be missing, preserve both servicers' statements and use the transfer-specific dispute/RFI resources rather than relying on phone notes alone.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1024.33 • 12 CFR § 1024.17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  |  https://www.consumerfinance.gov/rules-policy/regulations/1024/33/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