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0"/>
        <w:gridCol w:w="2232"/>
      </w:tblGrid>
      <w:tr>
        <w:tc>
          <w:tcPr>
            <w:tcW w:type="dxa" w:w="5227"/>
            <w:shd w:fill="F6F1E7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color w:val="C57B46"/>
                <w:sz w:val="17"/>
              </w:rPr>
              <w:t>TAX WORKSHEET</w:t>
            </w:r>
          </w:p>
          <w:p>
            <w:pPr>
              <w:spacing w:after="0"/>
            </w:pPr>
            <w:r>
              <w:rPr>
                <w:rFonts w:ascii="Aptos Display" w:hAnsi="Aptos Display"/>
                <w:b/>
                <w:color w:val="15332D"/>
                <w:sz w:val="46"/>
              </w:rPr>
              <w:t>Supplemental Property Tax Bill Servicer Contact Sheet</w:t>
            </w:r>
          </w:p>
        </w:tc>
        <w:tc>
          <w:tcPr>
            <w:tcW w:type="dxa" w:w="5227"/>
            <w:shd w:fill="174F43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jc w:val="center"/>
            </w:pPr>
            <w:r>
              <w:rPr>
                <w:rFonts w:ascii="Aptos Display" w:hAnsi="Aptos Display"/>
                <w:b/>
                <w:color w:val="FFFFFF"/>
                <w:sz w:val="56"/>
              </w:rPr>
              <w:t>32</w:t>
            </w:r>
          </w:p>
          <w:p>
            <w:pPr>
              <w:jc w:val="center"/>
            </w:pPr>
            <w:r>
              <w:rPr>
                <w:rFonts w:ascii="Aptos" w:hAnsi="Aptos"/>
                <w:b/>
                <w:color w:val="DCEAE6"/>
                <w:sz w:val="15"/>
              </w:rPr>
              <w:t>CLARIFY BILL</w:t>
            </w:r>
          </w:p>
        </w:tc>
      </w:tr>
    </w:tbl>
    <w:p>
      <w:pPr>
        <w:spacing w:before="160" w:after="120"/>
      </w:pPr>
      <w:r>
        <w:rPr>
          <w:color w:val="48675F"/>
          <w:sz w:val="21"/>
        </w:rPr>
        <w:t>Organize a supplemental tax bill before contacting the servicer so you can document whether it is already in escrow, separately payable, or missing from the servicer record.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84"/>
        <w:gridCol w:w="4968"/>
      </w:tblGrid>
      <w:tr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WHEN TO USE</w:t>
            </w:r>
          </w:p>
          <w:p>
            <w:pPr>
              <w:spacing w:after="0"/>
            </w:pPr>
            <w:r>
              <w:rPr>
                <w:sz w:val="18"/>
              </w:rPr>
              <w:t>Organize a supplemental tax bill before contacting the servicer so you can document whether it is already in escrow, separately payable, or missing from the servicer record.</w:t>
            </w:r>
          </w:p>
        </w:tc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FEDERAL / PRIMARY REFERENCE</w:t>
            </w:r>
          </w:p>
          <w:p>
            <w:pPr>
              <w:spacing w:after="0"/>
            </w:pPr>
            <w:r>
              <w:rPr>
                <w:sz w:val="18"/>
              </w:rPr>
              <w:t>12 CFR § 1024.17 · 12 CFR § 1024.36</w:t>
            </w:r>
          </w:p>
        </w:tc>
      </w:tr>
    </w:tbl>
    <w:p>
      <w:pPr>
        <w:pStyle w:val="Heading1"/>
      </w:pPr>
      <w:r>
        <w:t>Federal baseline to check</w:t>
      </w:r>
    </w:p>
    <w:p>
      <w:pPr>
        <w:pStyle w:val="Checklist"/>
      </w:pPr>
      <w:r>
        <w:rPr>
          <w:b/>
        </w:rPr>
        <w:t xml:space="preserve">☐ </w:t>
      </w:r>
      <w:r>
        <w:t>A supplemental or corrected tax bill is not automatically an escrow item just because the regular property tax is escrowed; the loan/account setup and servicer records must be checked.</w:t>
      </w:r>
    </w:p>
    <w:p>
      <w:pPr>
        <w:pStyle w:val="Checklist"/>
      </w:pPr>
      <w:r>
        <w:rPr>
          <w:b/>
        </w:rPr>
        <w:t xml:space="preserve">☐ </w:t>
      </w:r>
      <w:r>
        <w:t>If a servicer knows a charge that will be an escrow item in the next computation year, Regulation X generally requires that known amount to be used in the estimate.</w:t>
      </w:r>
    </w:p>
    <w:p>
      <w:pPr>
        <w:pStyle w:val="Checklist"/>
      </w:pPr>
      <w:r>
        <w:rPr>
          <w:b/>
        </w:rPr>
        <w:t xml:space="preserve">☐ </w:t>
      </w:r>
      <w:r>
        <w:t>A borrower can use an RFI to obtain servicing records or clarify whether the servicer is tracking a particular tax bill.</w:t>
      </w:r>
    </w:p>
    <w:p>
      <w:pPr>
        <w:spacing w:before="160" w:after="80"/>
      </w:pPr>
      <w:r>
        <w:rPr>
          <w:rFonts w:ascii="Aptos" w:hAnsi="Aptos"/>
          <w:b/>
          <w:color w:val="C57B46"/>
          <w:sz w:val="17"/>
        </w:rPr>
        <w:t>BORROWER AND LOAN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Borrower name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Property address</w:t>
              <w:br/>
            </w:r>
            <w:r>
              <w:rPr>
                <w:sz w:val="20"/>
              </w:rPr>
              <w:t>________________________________</w:t>
            </w:r>
          </w:p>
        </w:tc>
      </w:tr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Loan/account number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Servicer name</w:t>
              <w:br/>
            </w:r>
            <w:r>
              <w:rPr>
                <w:sz w:val="20"/>
              </w:rPr>
              <w:t>________________________________</w:t>
            </w:r>
          </w:p>
        </w:tc>
      </w:tr>
    </w:tbl>
    <w:p>
      <w:pPr>
        <w:pStyle w:val="Heading2"/>
      </w:pPr>
      <w:r>
        <w:t>Supplemental bill facts</w:t>
      </w:r>
    </w:p>
    <w:p>
      <w:pPr>
        <w:pStyle w:val="FillLine"/>
      </w:pPr>
      <w:r>
        <w:rPr>
          <w:color w:val="15332D"/>
          <w:sz w:val="21"/>
        </w:rPr>
        <w:t>Authority / parcel: ____________________   Supplemental tax year/type: 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Regular bill comparison</w:t>
      </w:r>
    </w:p>
    <w:p>
      <w:pPr>
        <w:pStyle w:val="FillLine"/>
      </w:pPr>
      <w:r>
        <w:rPr>
          <w:color w:val="15332D"/>
          <w:sz w:val="21"/>
        </w:rPr>
        <w:t>Regular bill: $__________   Supplemental/corrected bill: $__________   Due: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Servicer record</w:t>
      </w:r>
    </w:p>
    <w:p>
      <w:pPr>
        <w:pStyle w:val="FillLine"/>
      </w:pPr>
      <w:r>
        <w:rPr>
          <w:color w:val="15332D"/>
          <w:sz w:val="21"/>
        </w:rPr>
        <w:t>Servicer analysis/ledger lists this bill? Yes / No / Unsure   Reference: 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Who is expected to pay</w:t>
      </w:r>
    </w:p>
    <w:p>
      <w:pPr>
        <w:pStyle w:val="FillLine"/>
      </w:pPr>
      <w:r>
        <w:rPr>
          <w:color w:val="15332D"/>
          <w:sz w:val="21"/>
        </w:rPr>
        <w:t>Expected payer: Servicer / Borrower / Unsure   Expected payment date: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Written clarification</w:t>
      </w:r>
    </w:p>
    <w:p>
      <w:pPr>
        <w:pStyle w:val="FillLine"/>
      </w:pPr>
      <w:r>
        <w:rPr>
          <w:color w:val="15332D"/>
          <w:sz w:val="21"/>
        </w:rPr>
        <w:t>Written servicer answer / case number / follow-up date: __________________________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1"/>
      </w:pPr>
      <w:r>
        <w:t>Attachment checklist</w:t>
      </w:r>
    </w:p>
    <w:p>
      <w:pPr>
        <w:pStyle w:val="Checklist"/>
      </w:pPr>
      <w:r>
        <w:rPr>
          <w:b/>
        </w:rPr>
        <w:t xml:space="preserve">☐ </w:t>
      </w:r>
      <w:r>
        <w:t>Supplemental tax bill</w:t>
      </w:r>
    </w:p>
    <w:p>
      <w:pPr>
        <w:pStyle w:val="Checklist"/>
      </w:pPr>
      <w:r>
        <w:rPr>
          <w:b/>
        </w:rPr>
        <w:t xml:space="preserve">☐ </w:t>
      </w:r>
      <w:r>
        <w:t>Regular tax bill</w:t>
      </w:r>
    </w:p>
    <w:p>
      <w:pPr>
        <w:pStyle w:val="Checklist"/>
      </w:pPr>
      <w:r>
        <w:rPr>
          <w:b/>
        </w:rPr>
        <w:t xml:space="preserve">☐ </w:t>
      </w:r>
      <w:r>
        <w:t>Escrow analysis</w:t>
      </w:r>
    </w:p>
    <w:p>
      <w:pPr>
        <w:pStyle w:val="Checklist"/>
      </w:pPr>
      <w:r>
        <w:rPr>
          <w:b/>
        </w:rPr>
        <w:t xml:space="preserve">☐ </w:t>
      </w:r>
      <w:r>
        <w:t>Servicer tax-disbursement history</w:t>
      </w:r>
    </w:p>
    <w:p>
      <w:pPr>
        <w:pStyle w:val="Checklist"/>
      </w:pPr>
      <w:r>
        <w:rPr>
          <w:b/>
        </w:rPr>
        <w:t xml:space="preserve">☐ </w:t>
      </w:r>
      <w:r>
        <w:t>Copy of this completed template retained for your records</w:t>
      </w:r>
    </w:p>
    <w:p>
      <w:pPr>
        <w:pStyle w:val="Checklist"/>
      </w:pPr>
      <w:r>
        <w:rPr>
          <w:b/>
        </w:rPr>
        <w:t xml:space="preserve">☐ </w:t>
      </w:r>
      <w:r>
        <w:t>Mailing / delivery confirmation retained if sent formally</w:t>
      </w:r>
    </w:p>
    <w:p>
      <w:pPr>
        <w:pStyle w:val="Heading1"/>
      </w:pPr>
      <w:r>
        <w:t>Use notes</w:t>
      </w:r>
    </w:p>
    <w:p>
      <w:pPr>
        <w:pStyle w:val="Checklist"/>
      </w:pPr>
      <w:r>
        <w:rPr>
          <w:b/>
        </w:rPr>
        <w:t xml:space="preserve">☐ </w:t>
      </w:r>
      <w:r>
        <w:t>Do not pay a supplemental bill yourself solely because it is absent from the annual analysis; first determine whether the servicer is already scheduled to pay it to avoid duplicate payment.</w:t>
      </w:r>
    </w:p>
    <w:p>
      <w:pPr>
        <w:pStyle w:val="Checklist"/>
      </w:pPr>
      <w:r>
        <w:rPr>
          <w:b/>
        </w:rPr>
        <w:t xml:space="preserve">☐ </w:t>
      </w:r>
      <w:r>
        <w:t>Record the parcel/account number, tax year, bill type, due date, and whether the taxing authority treats it as separate from the regular bill.</w:t>
      </w:r>
    </w:p>
    <w:p>
      <w:pPr>
        <w:pStyle w:val="Checklist"/>
      </w:pPr>
      <w:r>
        <w:rPr>
          <w:b/>
        </w:rPr>
        <w:t xml:space="preserve">☐ </w:t>
      </w:r>
      <w:r>
        <w:t>Ask the servicer for a written answer identifying whether it will pay the bill, from which account, and on what expected date; preserve the response.</w:t>
      </w:r>
    </w:p>
    <w:p>
      <w:pPr>
        <w:pStyle w:val="Checklist"/>
      </w:pPr>
      <w:r>
        <w:rPr>
          <w:b/>
        </w:rPr>
        <w:t xml:space="preserve">☐ </w:t>
      </w:r>
      <w:r>
        <w:t>Keep a complete copy of the completed template and supporting records; send copies rather than irreplaceable originals when copies are sufficient.</w:t>
      </w:r>
    </w:p>
    <w:p>
      <w:pPr>
        <w:spacing w:before="180"/>
      </w:pPr>
      <w:r>
        <w:rPr>
          <w:b/>
          <w:color w:val="C57B46"/>
          <w:sz w:val="16"/>
        </w:rPr>
        <w:t>PRIMARY SOURCES TO CHECK</w:t>
      </w:r>
    </w:p>
    <w:p>
      <w:r>
        <w:rPr>
          <w:color w:val="48675F"/>
          <w:sz w:val="17"/>
        </w:rPr>
        <w:t>12 CFR § 1024.17 • 12 CFR § 1024.36</w:t>
      </w:r>
    </w:p>
    <w:p>
      <w:pPr>
        <w:keepNext w:val="0"/>
        <w:spacing w:after="0"/>
      </w:pPr>
      <w:r>
        <w:rPr>
          <w:color w:val="48675F"/>
          <w:sz w:val="13"/>
        </w:rPr>
        <w:t>Official links: https://www.consumerfinance.gov/rules-policy/regulations/1024/17/  |  https://www.consumerfinance.gov/rules-policy/regulations/1024/36/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92" w:left="893" w:header="317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48675F"/>
        <w:sz w:val="15"/>
      </w:rPr>
      <w:t>EscrowGuide  |  Educational worksheet - not legal, tax, lending, or insurance advice  |  escrowguide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74F43"/>
        <w:sz w:val="16"/>
      </w:rPr>
      <w:t>ESCROWGUIDE  /  FREE HOMEOWNER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533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533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57B4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ptos Display" w:hAnsi="Aptos Display"/>
      <w:b/>
      <w:color w:val="15332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llLine">
    <w:name w:val="FillLine"/>
    <w:pPr>
      <w:spacing w:after="160"/>
      <w:pBdr>
        <w:bottom w:val="single" w:sz="4" w:space="2" w:color="B9C9C3"/>
      </w:pBdr>
    </w:pPr>
    <w:rPr>
      <w:rFonts w:ascii="Aptos" w:hAnsi="Aptos"/>
      <w:sz w:val="21"/>
    </w:rPr>
  </w:style>
  <w:style w:type="paragraph" w:customStyle="1" w:styleId="Checklist">
    <w:name w:val="Checklist"/>
    <w:pPr>
      <w:spacing w:after="80"/>
      <w:ind w:left="72"/>
    </w:pPr>
    <w:rPr>
      <w:rFonts w:ascii="Aptos" w:hAnsi="Aptos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